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75CC" w14:textId="77777777" w:rsidR="00FC15A4" w:rsidRDefault="0084098A">
      <w:pPr>
        <w:pStyle w:val="BodyText"/>
        <w:rPr>
          <w:rFonts w:ascii="Times New Roman"/>
          <w:sz w:val="20"/>
        </w:rPr>
      </w:pPr>
      <w:r>
        <w:rPr>
          <w:lang w:bidi="fr-CA"/>
        </w:rPr>
        <w:pict w14:anchorId="64DB4F44">
          <v:group id="_x0000_s2060" alt="" style="position:absolute;margin-left:35.9pt;margin-top:64.85pt;width:567pt;height:58.2pt;z-index:-15904768;mso-position-horizontal-relative:page;mso-position-vertical-relative:page" coordorigin="718,1297" coordsize="11340,1164">
            <v:line id="_x0000_s2061" alt="" style="position:absolute" from="718,2445" to="11522,2445" strokecolor="#0038a8" strokeweight="1.5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 style="position:absolute;left:806;top:1314;width:2365;height:1057">
              <v:imagedata r:id="rId7" o:title=""/>
            </v:shape>
            <v:shape id="_x0000_s2063" type="#_x0000_t75" alt="" style="position:absolute;left:9341;top:1296;width:2717;height:1039">
              <v:imagedata r:id="rId8" o:title=""/>
            </v:shape>
            <w10:wrap anchorx="page" anchory="page"/>
          </v:group>
        </w:pict>
      </w:r>
    </w:p>
    <w:p w14:paraId="780ED831" w14:textId="77777777" w:rsidR="00FC15A4" w:rsidRDefault="00FC15A4">
      <w:pPr>
        <w:pStyle w:val="BodyText"/>
        <w:rPr>
          <w:rFonts w:ascii="Times New Roman"/>
          <w:sz w:val="20"/>
        </w:rPr>
      </w:pPr>
    </w:p>
    <w:p w14:paraId="6C88BBC5" w14:textId="77777777" w:rsidR="00FC15A4" w:rsidRDefault="00FC15A4">
      <w:pPr>
        <w:pStyle w:val="BodyText"/>
        <w:rPr>
          <w:rFonts w:ascii="Times New Roman"/>
          <w:sz w:val="20"/>
        </w:rPr>
      </w:pPr>
    </w:p>
    <w:p w14:paraId="54986B07" w14:textId="77777777" w:rsidR="00FC15A4" w:rsidRDefault="00FC15A4">
      <w:pPr>
        <w:pStyle w:val="BodyText"/>
        <w:rPr>
          <w:rFonts w:ascii="Times New Roman"/>
          <w:sz w:val="20"/>
        </w:rPr>
      </w:pPr>
    </w:p>
    <w:p w14:paraId="764ECC1F" w14:textId="77777777" w:rsidR="00FC15A4" w:rsidRDefault="00FC15A4">
      <w:pPr>
        <w:pStyle w:val="BodyText"/>
        <w:rPr>
          <w:rFonts w:ascii="Times New Roman"/>
          <w:sz w:val="20"/>
        </w:rPr>
      </w:pPr>
    </w:p>
    <w:p w14:paraId="47F9C6A2" w14:textId="77777777" w:rsidR="00FC15A4" w:rsidRDefault="00FC15A4">
      <w:pPr>
        <w:pStyle w:val="BodyText"/>
        <w:spacing w:before="3"/>
        <w:rPr>
          <w:rFonts w:ascii="Times New Roman"/>
          <w:sz w:val="25"/>
        </w:rPr>
      </w:pPr>
    </w:p>
    <w:p w14:paraId="54461AFA" w14:textId="77777777" w:rsidR="00FC15A4" w:rsidRDefault="0084098A">
      <w:pPr>
        <w:pStyle w:val="BodyText"/>
        <w:ind w:left="127"/>
        <w:rPr>
          <w:rFonts w:ascii="Times New Roman"/>
          <w:sz w:val="20"/>
        </w:rPr>
      </w:pPr>
      <w:r>
        <w:rPr>
          <w:sz w:val="20"/>
          <w:lang w:bidi="fr-CA"/>
        </w:rPr>
      </w:r>
      <w:r>
        <w:rPr>
          <w:sz w:val="20"/>
          <w:lang w:bidi="fr-CA"/>
        </w:rPr>
        <w:pict w14:anchorId="6946A63E">
          <v:shapetype id="_x0000_t202" coordsize="21600,21600" o:spt="202" path="m,l,21600r21600,l21600,xe">
            <v:stroke joinstyle="miter"/>
            <v:path gradientshapeok="t" o:connecttype="rect"/>
          </v:shapetype>
          <v:shape id="_x0000_s2059" type="#_x0000_t202" alt="" style="width:490.8pt;height:86.6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d9d9d9">
            <v:textbox inset="0,0,0,0">
              <w:txbxContent>
                <w:p w14:paraId="27D964DE" w14:textId="77777777" w:rsidR="00FC15A4" w:rsidRDefault="00000000" w:rsidP="00C75F0F">
                  <w:pPr>
                    <w:pStyle w:val="BodyText"/>
                    <w:spacing w:before="105"/>
                    <w:ind w:left="1701" w:right="1440"/>
                    <w:jc w:val="center"/>
                  </w:pPr>
                  <w:r>
                    <w:rPr>
                      <w:lang w:bidi="fr-CA"/>
                    </w:rPr>
                    <w:t>Politique opérationnelle nationale n</w:t>
                  </w:r>
                  <w:r>
                    <w:rPr>
                      <w:vertAlign w:val="superscript"/>
                      <w:lang w:bidi="fr-CA"/>
                    </w:rPr>
                    <w:t>o</w:t>
                  </w:r>
                  <w:r>
                    <w:rPr>
                      <w:lang w:bidi="fr-CA"/>
                    </w:rPr>
                    <w:t> 27</w:t>
                  </w:r>
                </w:p>
                <w:p w14:paraId="0B613912" w14:textId="77777777" w:rsidR="00C75F0F" w:rsidRDefault="00000000" w:rsidP="00C75F0F">
                  <w:pPr>
                    <w:spacing w:before="43" w:line="512" w:lineRule="exact"/>
                    <w:ind w:left="143" w:right="165"/>
                    <w:rPr>
                      <w:i/>
                      <w:lang w:bidi="fr-CA"/>
                    </w:rPr>
                  </w:pPr>
                  <w:r>
                    <w:rPr>
                      <w:i/>
                      <w:lang w:bidi="fr-CA"/>
                    </w:rPr>
                    <w:t>Objet : Code de déontologie </w:t>
                  </w:r>
                  <w:r w:rsidR="00C75F0F">
                    <w:rPr>
                      <w:i/>
                      <w:lang w:bidi="fr-CA"/>
                    </w:rPr>
                    <w:t>—</w:t>
                  </w:r>
                  <w:r>
                    <w:rPr>
                      <w:i/>
                      <w:lang w:bidi="fr-CA"/>
                    </w:rPr>
                    <w:t xml:space="preserve"> Plaintes, enquêtes et mesures disciplinaires</w:t>
                  </w:r>
                </w:p>
                <w:p w14:paraId="59FF5B09" w14:textId="4761BB74" w:rsidR="00FC15A4" w:rsidRDefault="00000000" w:rsidP="00C75F0F">
                  <w:pPr>
                    <w:spacing w:before="43" w:line="512" w:lineRule="exact"/>
                    <w:ind w:left="143" w:right="165"/>
                    <w:rPr>
                      <w:rFonts w:ascii="Arial" w:hAnsi="Arial"/>
                      <w:i/>
                    </w:rPr>
                  </w:pPr>
                  <w:r>
                    <w:rPr>
                      <w:i/>
                      <w:lang w:bidi="fr-CA"/>
                    </w:rPr>
                    <w:t>Approbation : juin 2020 par le Conseil exécutif national</w:t>
                  </w:r>
                </w:p>
              </w:txbxContent>
            </v:textbox>
            <w10:anchorlock/>
          </v:shape>
        </w:pict>
      </w:r>
    </w:p>
    <w:p w14:paraId="2085D8C4" w14:textId="77777777" w:rsidR="00FC15A4" w:rsidRDefault="00FC15A4">
      <w:pPr>
        <w:pStyle w:val="BodyText"/>
        <w:spacing w:before="9"/>
        <w:rPr>
          <w:rFonts w:ascii="Times New Roman"/>
          <w:sz w:val="25"/>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6"/>
      </w:tblGrid>
      <w:tr w:rsidR="00FC15A4" w14:paraId="3BCC2E50" w14:textId="77777777">
        <w:trPr>
          <w:trHeight w:val="369"/>
        </w:trPr>
        <w:tc>
          <w:tcPr>
            <w:tcW w:w="9796" w:type="dxa"/>
            <w:shd w:val="clear" w:color="auto" w:fill="C0C0C0"/>
          </w:tcPr>
          <w:p w14:paraId="49D998EA" w14:textId="77777777" w:rsidR="00FC15A4" w:rsidRDefault="00000000">
            <w:pPr>
              <w:pStyle w:val="TableParagraph"/>
              <w:spacing w:before="57"/>
              <w:rPr>
                <w:rFonts w:ascii="Arial"/>
                <w:i/>
              </w:rPr>
            </w:pPr>
            <w:r>
              <w:rPr>
                <w:i/>
                <w:lang w:bidi="fr-CA"/>
              </w:rPr>
              <w:t>Objectif et justification</w:t>
            </w:r>
          </w:p>
        </w:tc>
      </w:tr>
      <w:tr w:rsidR="00FC15A4" w14:paraId="75369711" w14:textId="77777777">
        <w:trPr>
          <w:trHeight w:val="2584"/>
        </w:trPr>
        <w:tc>
          <w:tcPr>
            <w:tcW w:w="9796" w:type="dxa"/>
          </w:tcPr>
          <w:p w14:paraId="23197CB8" w14:textId="77777777" w:rsidR="00FC15A4" w:rsidRDefault="00FC15A4">
            <w:pPr>
              <w:pStyle w:val="TableParagraph"/>
              <w:spacing w:before="4"/>
              <w:ind w:left="0"/>
              <w:rPr>
                <w:rFonts w:ascii="Times New Roman"/>
                <w:sz w:val="28"/>
              </w:rPr>
            </w:pPr>
          </w:p>
          <w:p w14:paraId="23D26787" w14:textId="77777777" w:rsidR="00FC15A4" w:rsidRDefault="00000000">
            <w:pPr>
              <w:pStyle w:val="TableParagraph"/>
              <w:spacing w:before="1"/>
            </w:pPr>
            <w:r>
              <w:rPr>
                <w:lang w:bidi="fr-CA"/>
              </w:rPr>
              <w:t>Toute personne demandant à devenir membre ou à renouveler son adhésion à l’Institut canadien des inspecteurs en santé publique (ICISP) doit prendre connaissance du Code de déontologie de l’ICISP (le Code) et accepter de se conduire conformément aux principes fondamentaux et d’éthique énoncés dans le Code.</w:t>
            </w:r>
          </w:p>
          <w:p w14:paraId="59DA60DC" w14:textId="42978D34" w:rsidR="00FC15A4" w:rsidRDefault="00000000">
            <w:pPr>
              <w:pStyle w:val="TableParagraph"/>
            </w:pPr>
            <w:r>
              <w:rPr>
                <w:lang w:bidi="fr-CA"/>
              </w:rPr>
              <w:t>La présente politique opérationnelle nationale n°</w:t>
            </w:r>
            <w:r w:rsidR="00C75F0F">
              <w:rPr>
                <w:lang w:bidi="fr-CA"/>
              </w:rPr>
              <w:t> </w:t>
            </w:r>
            <w:r>
              <w:rPr>
                <w:lang w:bidi="fr-CA"/>
              </w:rPr>
              <w:t>27 (politique) établit les mesures que l’ICISP applique en cas de plaintes relatives à des comportements non conformes au Code.</w:t>
            </w:r>
          </w:p>
          <w:p w14:paraId="29C2C851" w14:textId="77777777" w:rsidR="00FC15A4" w:rsidRDefault="00FC15A4">
            <w:pPr>
              <w:pStyle w:val="TableParagraph"/>
              <w:spacing w:before="10"/>
              <w:ind w:left="0"/>
              <w:rPr>
                <w:rFonts w:ascii="Times New Roman"/>
                <w:sz w:val="21"/>
              </w:rPr>
            </w:pPr>
          </w:p>
          <w:p w14:paraId="308B9096" w14:textId="61C398D8" w:rsidR="00FC15A4" w:rsidRDefault="00000000">
            <w:pPr>
              <w:pStyle w:val="TableParagraph"/>
              <w:ind w:right="87"/>
            </w:pPr>
            <w:r>
              <w:rPr>
                <w:lang w:bidi="fr-CA"/>
              </w:rPr>
              <w:t>Le conseil d’administration a le pouvoir de prendre des mesures disciplinaires à l’encontre d’un membre ayant enfreint le code, conformément à l’article 4.03 du règlement n°</w:t>
            </w:r>
            <w:r w:rsidR="00C75F0F">
              <w:rPr>
                <w:lang w:bidi="fr-CA"/>
              </w:rPr>
              <w:t> </w:t>
            </w:r>
            <w:r>
              <w:rPr>
                <w:lang w:bidi="fr-CA"/>
              </w:rPr>
              <w:t>1.</w:t>
            </w:r>
          </w:p>
        </w:tc>
      </w:tr>
    </w:tbl>
    <w:p w14:paraId="4A4E5971" w14:textId="77777777" w:rsidR="00FC15A4" w:rsidRDefault="00FC15A4">
      <w:pPr>
        <w:pStyle w:val="BodyText"/>
        <w:rPr>
          <w:rFonts w:ascii="Times New Roman"/>
          <w:sz w:val="20"/>
        </w:rPr>
      </w:pPr>
    </w:p>
    <w:p w14:paraId="3ACA1E0A" w14:textId="77777777" w:rsidR="00FC15A4" w:rsidRDefault="00FC15A4">
      <w:pPr>
        <w:pStyle w:val="BodyText"/>
        <w:spacing w:before="7" w:after="1"/>
        <w:rPr>
          <w:rFonts w:ascii="Times New Roman"/>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6"/>
      </w:tblGrid>
      <w:tr w:rsidR="00FC15A4" w14:paraId="54402CAB" w14:textId="77777777" w:rsidTr="00E14103">
        <w:trPr>
          <w:cantSplit/>
          <w:trHeight w:val="381"/>
        </w:trPr>
        <w:tc>
          <w:tcPr>
            <w:tcW w:w="9756" w:type="dxa"/>
            <w:shd w:val="clear" w:color="auto" w:fill="C0C0C0"/>
          </w:tcPr>
          <w:p w14:paraId="76EF453D" w14:textId="77777777" w:rsidR="00FC15A4" w:rsidRDefault="00000000">
            <w:pPr>
              <w:pStyle w:val="TableParagraph"/>
              <w:spacing w:before="60"/>
              <w:rPr>
                <w:rFonts w:ascii="Arial"/>
                <w:i/>
              </w:rPr>
            </w:pPr>
            <w:r>
              <w:rPr>
                <w:i/>
                <w:lang w:bidi="fr-CA"/>
              </w:rPr>
              <w:t>Définitions</w:t>
            </w:r>
          </w:p>
        </w:tc>
      </w:tr>
      <w:tr w:rsidR="00FC15A4" w14:paraId="7A0742F5" w14:textId="77777777" w:rsidTr="00E14103">
        <w:trPr>
          <w:cantSplit/>
          <w:trHeight w:val="5678"/>
        </w:trPr>
        <w:tc>
          <w:tcPr>
            <w:tcW w:w="9756" w:type="dxa"/>
          </w:tcPr>
          <w:p w14:paraId="3CFE9189" w14:textId="72D4121D" w:rsidR="00FC15A4" w:rsidRDefault="00000000">
            <w:pPr>
              <w:pStyle w:val="TableParagraph"/>
              <w:spacing w:before="58" w:line="244" w:lineRule="auto"/>
              <w:ind w:right="233"/>
              <w:jc w:val="both"/>
            </w:pPr>
            <w:r>
              <w:rPr>
                <w:lang w:bidi="fr-CA"/>
              </w:rPr>
              <w:t>Le</w:t>
            </w:r>
            <w:r>
              <w:rPr>
                <w:b/>
                <w:lang w:bidi="fr-CA"/>
              </w:rPr>
              <w:t xml:space="preserve"> conseil </w:t>
            </w:r>
            <w:r>
              <w:rPr>
                <w:lang w:bidi="fr-CA"/>
              </w:rPr>
              <w:t>désigne le conseil d’administration de l’ICISP,</w:t>
            </w:r>
            <w:r w:rsidR="00C75F0F">
              <w:rPr>
                <w:lang w:bidi="fr-CA"/>
              </w:rPr>
              <w:t xml:space="preserve"> </w:t>
            </w:r>
            <w:r>
              <w:rPr>
                <w:lang w:bidi="fr-CA"/>
              </w:rPr>
              <w:t>également désigné sous le nom de conseil exécutif national (CEN).</w:t>
            </w:r>
          </w:p>
          <w:p w14:paraId="0D220073" w14:textId="77777777" w:rsidR="00FC15A4" w:rsidRDefault="00FC15A4">
            <w:pPr>
              <w:pStyle w:val="TableParagraph"/>
              <w:spacing w:before="7"/>
              <w:ind w:left="0"/>
              <w:rPr>
                <w:rFonts w:ascii="Times New Roman"/>
                <w:sz w:val="20"/>
              </w:rPr>
            </w:pPr>
          </w:p>
          <w:p w14:paraId="6C7800C9" w14:textId="77777777" w:rsidR="00FC15A4" w:rsidRDefault="00000000">
            <w:pPr>
              <w:pStyle w:val="TableParagraph"/>
              <w:jc w:val="both"/>
            </w:pPr>
            <w:r>
              <w:rPr>
                <w:lang w:bidi="fr-CA"/>
              </w:rPr>
              <w:t>L’</w:t>
            </w:r>
            <w:r>
              <w:rPr>
                <w:b/>
                <w:lang w:bidi="fr-CA"/>
              </w:rPr>
              <w:t>ICISP</w:t>
            </w:r>
            <w:r>
              <w:rPr>
                <w:lang w:bidi="fr-CA"/>
              </w:rPr>
              <w:t xml:space="preserve"> est l’Institut canadien des inspecteurs en santé publique.</w:t>
            </w:r>
          </w:p>
          <w:p w14:paraId="52C30406" w14:textId="77777777" w:rsidR="00FC15A4" w:rsidRDefault="00FC15A4">
            <w:pPr>
              <w:pStyle w:val="TableParagraph"/>
              <w:ind w:left="0"/>
              <w:rPr>
                <w:rFonts w:ascii="Times New Roman"/>
              </w:rPr>
            </w:pPr>
          </w:p>
          <w:p w14:paraId="1E7E2E54" w14:textId="6339ED53" w:rsidR="00FC15A4" w:rsidRDefault="00000000">
            <w:pPr>
              <w:pStyle w:val="TableParagraph"/>
              <w:spacing w:before="1"/>
              <w:jc w:val="both"/>
            </w:pPr>
            <w:r>
              <w:rPr>
                <w:lang w:bidi="fr-CA"/>
              </w:rPr>
              <w:t xml:space="preserve">Le </w:t>
            </w:r>
            <w:r>
              <w:rPr>
                <w:b/>
                <w:lang w:bidi="fr-CA"/>
              </w:rPr>
              <w:t xml:space="preserve">Code </w:t>
            </w:r>
            <w:r>
              <w:rPr>
                <w:lang w:bidi="fr-CA"/>
              </w:rPr>
              <w:t>désigne les Code</w:t>
            </w:r>
            <w:r w:rsidR="00C75F0F">
              <w:rPr>
                <w:lang w:bidi="fr-CA"/>
              </w:rPr>
              <w:t>s</w:t>
            </w:r>
            <w:r>
              <w:rPr>
                <w:lang w:bidi="fr-CA"/>
              </w:rPr>
              <w:t xml:space="preserve"> de déontologie de l’ICISP.</w:t>
            </w:r>
          </w:p>
          <w:p w14:paraId="69C3FF51" w14:textId="77777777" w:rsidR="00FC15A4" w:rsidRDefault="00FC15A4">
            <w:pPr>
              <w:pStyle w:val="TableParagraph"/>
              <w:ind w:left="0"/>
              <w:rPr>
                <w:rFonts w:ascii="Times New Roman"/>
              </w:rPr>
            </w:pPr>
          </w:p>
          <w:p w14:paraId="1F26A61D" w14:textId="77777777" w:rsidR="00FC15A4" w:rsidRDefault="00000000">
            <w:pPr>
              <w:pStyle w:val="TableParagraph"/>
              <w:ind w:right="184"/>
              <w:jc w:val="both"/>
            </w:pPr>
            <w:r>
              <w:rPr>
                <w:lang w:bidi="fr-CA"/>
              </w:rPr>
              <w:t xml:space="preserve">Le </w:t>
            </w:r>
            <w:r>
              <w:rPr>
                <w:b/>
                <w:lang w:bidi="fr-CA"/>
              </w:rPr>
              <w:t>comité de déontologie</w:t>
            </w:r>
            <w:r>
              <w:rPr>
                <w:lang w:bidi="fr-CA"/>
              </w:rPr>
              <w:t xml:space="preserve"> est un comité permanent établi par le conseil d’administration pour évaluer et répondre aux plaintes de déontologie et rédiger et administrer une procédure disciplinaire conforme aux règlements et aux politiques de l’ICISP.</w:t>
            </w:r>
          </w:p>
          <w:p w14:paraId="28BF584A" w14:textId="77777777" w:rsidR="00FC15A4" w:rsidRDefault="00FC15A4">
            <w:pPr>
              <w:pStyle w:val="TableParagraph"/>
              <w:spacing w:before="1"/>
              <w:ind w:left="0"/>
              <w:rPr>
                <w:rFonts w:ascii="Times New Roman"/>
              </w:rPr>
            </w:pPr>
          </w:p>
          <w:p w14:paraId="4FAAD9BC" w14:textId="77777777" w:rsidR="00FC15A4" w:rsidRDefault="00000000">
            <w:pPr>
              <w:pStyle w:val="TableParagraph"/>
              <w:ind w:right="188"/>
              <w:jc w:val="both"/>
            </w:pPr>
            <w:r>
              <w:rPr>
                <w:lang w:bidi="fr-CA"/>
              </w:rPr>
              <w:t>L’</w:t>
            </w:r>
            <w:r>
              <w:rPr>
                <w:b/>
                <w:lang w:bidi="fr-CA"/>
              </w:rPr>
              <w:t xml:space="preserve">exclusion d’un membre </w:t>
            </w:r>
            <w:r>
              <w:rPr>
                <w:lang w:bidi="fr-CA"/>
              </w:rPr>
              <w:t>signifie que le membre est exclu de façon permanente de l’ICISP.</w:t>
            </w:r>
          </w:p>
          <w:p w14:paraId="686FECBE" w14:textId="77777777" w:rsidR="00FC15A4" w:rsidRDefault="00FC15A4">
            <w:pPr>
              <w:pStyle w:val="TableParagraph"/>
              <w:ind w:left="0"/>
              <w:rPr>
                <w:rFonts w:ascii="Times New Roman"/>
              </w:rPr>
            </w:pPr>
          </w:p>
          <w:p w14:paraId="28DA20FF" w14:textId="77777777" w:rsidR="00FC15A4" w:rsidRDefault="00000000">
            <w:pPr>
              <w:pStyle w:val="TableParagraph"/>
            </w:pPr>
            <w:r>
              <w:rPr>
                <w:b/>
                <w:lang w:bidi="fr-CA"/>
              </w:rPr>
              <w:t xml:space="preserve">Membre </w:t>
            </w:r>
            <w:r>
              <w:rPr>
                <w:lang w:bidi="fr-CA"/>
              </w:rPr>
              <w:t>désigne un membre de l’ICISP</w:t>
            </w:r>
          </w:p>
          <w:p w14:paraId="5330A6A9" w14:textId="77777777" w:rsidR="00FC15A4" w:rsidRDefault="00FC15A4">
            <w:pPr>
              <w:pStyle w:val="TableParagraph"/>
              <w:ind w:left="0"/>
              <w:rPr>
                <w:rFonts w:ascii="Times New Roman"/>
              </w:rPr>
            </w:pPr>
          </w:p>
          <w:p w14:paraId="0C767AF0" w14:textId="77777777" w:rsidR="00FC15A4" w:rsidRDefault="00000000">
            <w:pPr>
              <w:pStyle w:val="TableParagraph"/>
            </w:pPr>
            <w:r>
              <w:rPr>
                <w:lang w:bidi="fr-CA"/>
              </w:rPr>
              <w:t xml:space="preserve">La </w:t>
            </w:r>
            <w:r>
              <w:rPr>
                <w:b/>
                <w:lang w:bidi="fr-CA"/>
              </w:rPr>
              <w:t xml:space="preserve">suspension de l’adhésion </w:t>
            </w:r>
            <w:r>
              <w:rPr>
                <w:lang w:bidi="fr-CA"/>
              </w:rPr>
              <w:t>signifie qu’un membre est radié et exclu de l’ICISP jusqu’à ce que les conditions de réintégration liées à la suspension soient remplies.</w:t>
            </w:r>
          </w:p>
          <w:p w14:paraId="3856FEFD" w14:textId="77777777" w:rsidR="00FC15A4" w:rsidRDefault="00FC15A4">
            <w:pPr>
              <w:pStyle w:val="TableParagraph"/>
              <w:ind w:left="0"/>
              <w:rPr>
                <w:rFonts w:ascii="Times New Roman"/>
              </w:rPr>
            </w:pPr>
          </w:p>
          <w:p w14:paraId="7C80F36B" w14:textId="77777777" w:rsidR="00FC15A4" w:rsidRDefault="00000000">
            <w:pPr>
              <w:pStyle w:val="TableParagraph"/>
            </w:pPr>
            <w:r>
              <w:rPr>
                <w:lang w:bidi="fr-CA"/>
              </w:rPr>
              <w:t xml:space="preserve">La </w:t>
            </w:r>
            <w:r>
              <w:rPr>
                <w:b/>
                <w:lang w:bidi="fr-CA"/>
              </w:rPr>
              <w:t xml:space="preserve">résiliation de l’adhésion </w:t>
            </w:r>
            <w:r>
              <w:rPr>
                <w:lang w:bidi="fr-CA"/>
              </w:rPr>
              <w:t>signifie qu’une adhésion existante est annulée et que l’individu n’est plus membre en règle de l’ICISP.</w:t>
            </w:r>
          </w:p>
        </w:tc>
      </w:tr>
    </w:tbl>
    <w:p w14:paraId="03A0B136" w14:textId="77777777" w:rsidR="00FC15A4" w:rsidRDefault="00FC15A4">
      <w:pPr>
        <w:sectPr w:rsidR="00FC15A4" w:rsidSect="0084098A">
          <w:footerReference w:type="default" r:id="rId9"/>
          <w:type w:val="continuous"/>
          <w:pgSz w:w="12240" w:h="15840"/>
          <w:pgMar w:top="1300" w:right="1100" w:bottom="1200" w:left="1080" w:header="720" w:footer="1004" w:gutter="0"/>
          <w:pgNumType w:start="1"/>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6"/>
      </w:tblGrid>
      <w:tr w:rsidR="00FC15A4" w14:paraId="1161B05C" w14:textId="77777777" w:rsidTr="00E14103">
        <w:trPr>
          <w:cantSplit/>
          <w:trHeight w:val="274"/>
        </w:trPr>
        <w:tc>
          <w:tcPr>
            <w:tcW w:w="9796" w:type="dxa"/>
            <w:shd w:val="clear" w:color="auto" w:fill="C0C0C0"/>
          </w:tcPr>
          <w:p w14:paraId="46BB1000" w14:textId="77777777" w:rsidR="00FC15A4" w:rsidRDefault="00000000">
            <w:pPr>
              <w:pStyle w:val="TableParagraph"/>
              <w:spacing w:before="31" w:line="223" w:lineRule="exact"/>
              <w:rPr>
                <w:rFonts w:ascii="Arial"/>
                <w:i/>
              </w:rPr>
            </w:pPr>
            <w:r>
              <w:rPr>
                <w:i/>
                <w:lang w:bidi="fr-CA"/>
              </w:rPr>
              <w:lastRenderedPageBreak/>
              <w:t>Champ d’application de la politique</w:t>
            </w:r>
          </w:p>
        </w:tc>
      </w:tr>
      <w:tr w:rsidR="00FC15A4" w14:paraId="4A7C898E" w14:textId="77777777" w:rsidTr="00E14103">
        <w:trPr>
          <w:cantSplit/>
          <w:trHeight w:val="3905"/>
        </w:trPr>
        <w:tc>
          <w:tcPr>
            <w:tcW w:w="9796" w:type="dxa"/>
            <w:tcBorders>
              <w:top w:val="single" w:sz="34" w:space="0" w:color="C0C0C0"/>
              <w:bottom w:val="single" w:sz="34" w:space="0" w:color="BEBEBE"/>
            </w:tcBorders>
          </w:tcPr>
          <w:p w14:paraId="6BB78386" w14:textId="77777777" w:rsidR="00FC15A4" w:rsidRDefault="00FC15A4">
            <w:pPr>
              <w:pStyle w:val="TableParagraph"/>
              <w:spacing w:before="4"/>
              <w:ind w:left="0"/>
              <w:rPr>
                <w:rFonts w:ascii="Times New Roman"/>
                <w:sz w:val="26"/>
              </w:rPr>
            </w:pPr>
          </w:p>
          <w:p w14:paraId="7A3D9E2B" w14:textId="77777777" w:rsidR="00FC15A4" w:rsidRDefault="00000000">
            <w:pPr>
              <w:pStyle w:val="TableParagraph"/>
              <w:numPr>
                <w:ilvl w:val="1"/>
                <w:numId w:val="6"/>
              </w:numPr>
              <w:tabs>
                <w:tab w:val="left" w:pos="545"/>
              </w:tabs>
              <w:rPr>
                <w:rFonts w:ascii="Arial"/>
                <w:b/>
              </w:rPr>
            </w:pPr>
            <w:r>
              <w:rPr>
                <w:b/>
                <w:lang w:bidi="fr-CA"/>
              </w:rPr>
              <w:t>Champ d’application</w:t>
            </w:r>
          </w:p>
          <w:p w14:paraId="28E9C671" w14:textId="77777777" w:rsidR="00FC15A4" w:rsidRDefault="00FC15A4">
            <w:pPr>
              <w:pStyle w:val="TableParagraph"/>
              <w:ind w:left="0"/>
              <w:rPr>
                <w:rFonts w:ascii="Times New Roman"/>
              </w:rPr>
            </w:pPr>
          </w:p>
          <w:p w14:paraId="2B6EA967" w14:textId="77777777" w:rsidR="00FC15A4" w:rsidRDefault="00000000">
            <w:pPr>
              <w:pStyle w:val="TableParagraph"/>
              <w:spacing w:line="252" w:lineRule="exact"/>
              <w:rPr>
                <w:rFonts w:ascii="Arial"/>
                <w:b/>
              </w:rPr>
            </w:pPr>
            <w:r>
              <w:rPr>
                <w:b/>
                <w:lang w:bidi="fr-CA"/>
              </w:rPr>
              <w:t>Intérêts du public et de l’ICISP</w:t>
            </w:r>
          </w:p>
          <w:p w14:paraId="4F65B1C7" w14:textId="77777777" w:rsidR="00FC15A4" w:rsidRDefault="00000000">
            <w:pPr>
              <w:pStyle w:val="TableParagraph"/>
              <w:ind w:right="206"/>
            </w:pPr>
            <w:r>
              <w:rPr>
                <w:lang w:bidi="fr-CA"/>
              </w:rPr>
              <w:t>Le Code est destiné à guider les membres au regard de leurs obligations morales dans le cadre de leur adhésion à l’ICISP, en tant qu’organisation professionnelle. Les membres sont tenus de respecter les règlements, les normes de pratique et les politiques opérationnelles nationales de l’ICISP. En qualité d’ambassadeurs de la santé publique et de l’ICISP, les membres doivent se comporter d’une manière digne de la profession de la santé publique environnementale. Par conséquent :</w:t>
            </w:r>
          </w:p>
          <w:p w14:paraId="0B620593" w14:textId="773B135B" w:rsidR="00FC15A4" w:rsidRDefault="00000000">
            <w:pPr>
              <w:pStyle w:val="TableParagraph"/>
              <w:numPr>
                <w:ilvl w:val="2"/>
                <w:numId w:val="6"/>
              </w:numPr>
              <w:tabs>
                <w:tab w:val="left" w:pos="835"/>
                <w:tab w:val="left" w:pos="836"/>
              </w:tabs>
              <w:spacing w:before="2"/>
              <w:ind w:right="199"/>
            </w:pPr>
            <w:r>
              <w:rPr>
                <w:lang w:bidi="fr-CA"/>
              </w:rPr>
              <w:t>L’ICISP s’appuiera sur le Code pour examiner une plainte logée contre un membre et, si nécessaire, prendra des mesures disciplinaires dans le respect de ses règlements et de ses politiques lorsqu’il s’agit d’actions, d’activités ou de relations qui pourraient avoir une incidence négative sur les intérêts de l’ICISP ou qui pourraient placer l’ICISP dans une situation désavantageuse ou discréditer l’ICISP.</w:t>
            </w:r>
          </w:p>
        </w:tc>
      </w:tr>
      <w:tr w:rsidR="00FC15A4" w14:paraId="2C3BAAED" w14:textId="77777777" w:rsidTr="00E14103">
        <w:trPr>
          <w:cantSplit/>
          <w:trHeight w:val="326"/>
        </w:trPr>
        <w:tc>
          <w:tcPr>
            <w:tcW w:w="9796" w:type="dxa"/>
            <w:shd w:val="clear" w:color="auto" w:fill="BEBEBE"/>
          </w:tcPr>
          <w:p w14:paraId="26B5EC6C" w14:textId="77777777" w:rsidR="00FC15A4" w:rsidRDefault="00000000">
            <w:pPr>
              <w:pStyle w:val="TableParagraph"/>
              <w:spacing w:line="217" w:lineRule="exact"/>
              <w:rPr>
                <w:rFonts w:ascii="Arial"/>
                <w:i/>
              </w:rPr>
            </w:pPr>
            <w:r>
              <w:rPr>
                <w:i/>
                <w:lang w:bidi="fr-CA"/>
              </w:rPr>
              <w:t>Opérations particulières</w:t>
            </w:r>
          </w:p>
        </w:tc>
      </w:tr>
      <w:tr w:rsidR="00FC15A4" w14:paraId="769DF14A" w14:textId="77777777" w:rsidTr="00E14103">
        <w:trPr>
          <w:cantSplit/>
          <w:trHeight w:val="8922"/>
        </w:trPr>
        <w:tc>
          <w:tcPr>
            <w:tcW w:w="9796" w:type="dxa"/>
            <w:tcBorders>
              <w:top w:val="single" w:sz="34" w:space="0" w:color="BEBEBE"/>
            </w:tcBorders>
          </w:tcPr>
          <w:p w14:paraId="081908B6" w14:textId="77777777" w:rsidR="00FC15A4" w:rsidRDefault="00FC15A4">
            <w:pPr>
              <w:pStyle w:val="TableParagraph"/>
              <w:spacing w:before="4"/>
              <w:ind w:left="0"/>
              <w:rPr>
                <w:rFonts w:ascii="Times New Roman"/>
                <w:sz w:val="26"/>
              </w:rPr>
            </w:pPr>
          </w:p>
          <w:p w14:paraId="436FF3F3" w14:textId="63D8C231" w:rsidR="00FC15A4" w:rsidRDefault="00000000">
            <w:pPr>
              <w:pStyle w:val="TableParagraph"/>
              <w:rPr>
                <w:rFonts w:ascii="Arial"/>
                <w:b/>
              </w:rPr>
            </w:pPr>
            <w:r>
              <w:rPr>
                <w:b/>
                <w:lang w:bidi="fr-CA"/>
              </w:rPr>
              <w:t>2</w:t>
            </w:r>
            <w:r w:rsidR="00C75F0F">
              <w:rPr>
                <w:b/>
                <w:lang w:bidi="fr-CA"/>
              </w:rPr>
              <w:t>.</w:t>
            </w:r>
            <w:r>
              <w:rPr>
                <w:b/>
                <w:lang w:bidi="fr-CA"/>
              </w:rPr>
              <w:t>1</w:t>
            </w:r>
          </w:p>
          <w:p w14:paraId="38EE9635" w14:textId="77777777" w:rsidR="00FC15A4" w:rsidRDefault="00000000">
            <w:pPr>
              <w:pStyle w:val="TableParagraph"/>
              <w:spacing w:before="1"/>
              <w:rPr>
                <w:rFonts w:ascii="Arial"/>
                <w:b/>
              </w:rPr>
            </w:pPr>
            <w:r>
              <w:rPr>
                <w:b/>
                <w:lang w:bidi="fr-CA"/>
              </w:rPr>
              <w:t>Procédure d’examen des plaintes</w:t>
            </w:r>
          </w:p>
          <w:p w14:paraId="34053C6E" w14:textId="4B3A4E57" w:rsidR="00FC15A4" w:rsidRDefault="00000000">
            <w:pPr>
              <w:pStyle w:val="TableParagraph"/>
              <w:numPr>
                <w:ilvl w:val="0"/>
                <w:numId w:val="5"/>
              </w:numPr>
              <w:tabs>
                <w:tab w:val="left" w:pos="835"/>
                <w:tab w:val="left" w:pos="836"/>
              </w:tabs>
              <w:spacing w:before="3" w:line="237" w:lineRule="auto"/>
              <w:ind w:right="214"/>
              <w:rPr>
                <w:rFonts w:ascii="Symbol" w:hAnsi="Symbol"/>
              </w:rPr>
            </w:pPr>
            <w:r>
              <w:rPr>
                <w:lang w:bidi="fr-CA"/>
              </w:rPr>
              <w:t>Une plainte au sujet d’une violation présumée du Code mettant en cause un membre doit être faite par écrit au moyen du formulaire «</w:t>
            </w:r>
            <w:r w:rsidR="00C75F0F">
              <w:rPr>
                <w:lang w:bidi="fr-CA"/>
              </w:rPr>
              <w:t> </w:t>
            </w:r>
            <w:r>
              <w:rPr>
                <w:lang w:bidi="fr-CA"/>
              </w:rPr>
              <w:t>Plainte relative au respect du Code de déontologie</w:t>
            </w:r>
            <w:r w:rsidR="00C75F0F">
              <w:rPr>
                <w:lang w:bidi="fr-CA"/>
              </w:rPr>
              <w:t> </w:t>
            </w:r>
            <w:r>
              <w:rPr>
                <w:lang w:bidi="fr-CA"/>
              </w:rPr>
              <w:t>», disponible auprès du Bureau national de l’ICISP (le «</w:t>
            </w:r>
            <w:r w:rsidR="00C75F0F">
              <w:rPr>
                <w:lang w:bidi="fr-CA"/>
              </w:rPr>
              <w:t> </w:t>
            </w:r>
            <w:r>
              <w:rPr>
                <w:lang w:bidi="fr-CA"/>
              </w:rPr>
              <w:t>Bureau</w:t>
            </w:r>
            <w:r w:rsidR="00C75F0F">
              <w:rPr>
                <w:lang w:bidi="fr-CA"/>
              </w:rPr>
              <w:t> </w:t>
            </w:r>
            <w:r>
              <w:rPr>
                <w:lang w:bidi="fr-CA"/>
              </w:rPr>
              <w:t>»).</w:t>
            </w:r>
          </w:p>
          <w:p w14:paraId="47EC253F" w14:textId="244A6F57" w:rsidR="00FC15A4" w:rsidRDefault="00000000">
            <w:pPr>
              <w:pStyle w:val="TableParagraph"/>
              <w:numPr>
                <w:ilvl w:val="0"/>
                <w:numId w:val="5"/>
              </w:numPr>
              <w:tabs>
                <w:tab w:val="left" w:pos="835"/>
                <w:tab w:val="left" w:pos="836"/>
              </w:tabs>
              <w:spacing w:before="3" w:line="269" w:lineRule="exact"/>
              <w:ind w:hanging="361"/>
              <w:rPr>
                <w:rFonts w:ascii="Symbol" w:hAnsi="Symbol"/>
              </w:rPr>
            </w:pPr>
            <w:r>
              <w:rPr>
                <w:lang w:bidi="fr-CA"/>
              </w:rPr>
              <w:t>Le Bureau transmettra pa</w:t>
            </w:r>
            <w:r w:rsidR="00C75F0F">
              <w:rPr>
                <w:lang w:bidi="fr-CA"/>
              </w:rPr>
              <w:t>r</w:t>
            </w:r>
            <w:r>
              <w:rPr>
                <w:lang w:bidi="fr-CA"/>
              </w:rPr>
              <w:t xml:space="preserve"> courrier électronique un accusé de réception au plaignant.</w:t>
            </w:r>
          </w:p>
          <w:p w14:paraId="495DC132" w14:textId="77777777" w:rsidR="00FC15A4" w:rsidRDefault="00000000">
            <w:pPr>
              <w:pStyle w:val="TableParagraph"/>
              <w:numPr>
                <w:ilvl w:val="0"/>
                <w:numId w:val="5"/>
              </w:numPr>
              <w:tabs>
                <w:tab w:val="left" w:pos="835"/>
                <w:tab w:val="left" w:pos="836"/>
              </w:tabs>
              <w:spacing w:before="2" w:line="237" w:lineRule="auto"/>
              <w:ind w:right="876"/>
              <w:rPr>
                <w:rFonts w:ascii="Symbol" w:hAnsi="Symbol"/>
              </w:rPr>
            </w:pPr>
            <w:r>
              <w:rPr>
                <w:lang w:bidi="fr-CA"/>
              </w:rPr>
              <w:t>Le Bureau transmet la plainte au responsable du comité de déontologie du Conseil exécutif national, ou à son délégué, dans un délai de cinq (5) jours civils suivant la date de réception de la plainte.</w:t>
            </w:r>
          </w:p>
          <w:p w14:paraId="2CC976CE" w14:textId="714A6804" w:rsidR="00FC15A4" w:rsidRDefault="00000000">
            <w:pPr>
              <w:pStyle w:val="TableParagraph"/>
              <w:numPr>
                <w:ilvl w:val="0"/>
                <w:numId w:val="5"/>
              </w:numPr>
              <w:tabs>
                <w:tab w:val="left" w:pos="835"/>
                <w:tab w:val="left" w:pos="836"/>
              </w:tabs>
              <w:spacing w:before="4" w:line="237" w:lineRule="auto"/>
              <w:ind w:right="362"/>
              <w:rPr>
                <w:rFonts w:ascii="Symbol" w:hAnsi="Symbol"/>
              </w:rPr>
            </w:pPr>
            <w:r>
              <w:rPr>
                <w:lang w:bidi="fr-CA"/>
              </w:rPr>
              <w:t>Le responsable examine la plainte afin de déterminer si les allégations, en cas de preuve, pourraient constituer une violation du Code (une «</w:t>
            </w:r>
            <w:r w:rsidR="00C75F0F">
              <w:rPr>
                <w:lang w:bidi="fr-CA"/>
              </w:rPr>
              <w:t> </w:t>
            </w:r>
            <w:r>
              <w:rPr>
                <w:lang w:bidi="fr-CA"/>
              </w:rPr>
              <w:t>plainte s’inscrivant dans le cadre du Code</w:t>
            </w:r>
            <w:r w:rsidR="00C75F0F">
              <w:rPr>
                <w:lang w:bidi="fr-CA"/>
              </w:rPr>
              <w:t> »</w:t>
            </w:r>
            <w:r>
              <w:rPr>
                <w:lang w:bidi="fr-CA"/>
              </w:rPr>
              <w:t>) ou si les allégations, même en cas de preuve, ne relèvent pas du Code (une «</w:t>
            </w:r>
            <w:r w:rsidR="00C75F0F">
              <w:rPr>
                <w:lang w:bidi="fr-CA"/>
              </w:rPr>
              <w:t> </w:t>
            </w:r>
            <w:r>
              <w:rPr>
                <w:lang w:bidi="fr-CA"/>
              </w:rPr>
              <w:t>plainte ne s’inscrivant pas dans le cadre du Code</w:t>
            </w:r>
            <w:r w:rsidR="00C75F0F">
              <w:rPr>
                <w:lang w:bidi="fr-CA"/>
              </w:rPr>
              <w:t> </w:t>
            </w:r>
            <w:r>
              <w:rPr>
                <w:lang w:bidi="fr-CA"/>
              </w:rPr>
              <w:t>»).</w:t>
            </w:r>
          </w:p>
          <w:p w14:paraId="47DF75EE" w14:textId="77777777" w:rsidR="00FC15A4" w:rsidRDefault="00000000">
            <w:pPr>
              <w:pStyle w:val="TableParagraph"/>
              <w:numPr>
                <w:ilvl w:val="0"/>
                <w:numId w:val="5"/>
              </w:numPr>
              <w:tabs>
                <w:tab w:val="left" w:pos="835"/>
                <w:tab w:val="left" w:pos="836"/>
              </w:tabs>
              <w:spacing w:before="5" w:line="237" w:lineRule="auto"/>
              <w:ind w:right="629"/>
              <w:rPr>
                <w:rFonts w:ascii="Symbol" w:hAnsi="Symbol"/>
              </w:rPr>
            </w:pPr>
            <w:r>
              <w:rPr>
                <w:lang w:bidi="fr-CA"/>
              </w:rPr>
              <w:t>S’il s’agit d’une plainte ne s’inscrivant pas dans le cadre du Code, le responsable en informe le plaignant et aucune autre mesure ne sera prise.</w:t>
            </w:r>
          </w:p>
          <w:p w14:paraId="62BC1508" w14:textId="77777777" w:rsidR="00FC15A4" w:rsidRDefault="00FC15A4">
            <w:pPr>
              <w:pStyle w:val="TableParagraph"/>
              <w:spacing w:before="1"/>
              <w:ind w:left="0"/>
              <w:rPr>
                <w:rFonts w:ascii="Times New Roman"/>
              </w:rPr>
            </w:pPr>
          </w:p>
          <w:p w14:paraId="647FD17C" w14:textId="1FE5ADCE" w:rsidR="00FC15A4" w:rsidRDefault="00000000">
            <w:pPr>
              <w:pStyle w:val="TableParagraph"/>
              <w:spacing w:line="252" w:lineRule="exact"/>
              <w:rPr>
                <w:rFonts w:ascii="Arial"/>
                <w:b/>
              </w:rPr>
            </w:pPr>
            <w:r>
              <w:rPr>
                <w:b/>
                <w:lang w:bidi="fr-CA"/>
              </w:rPr>
              <w:t>2</w:t>
            </w:r>
            <w:r w:rsidR="00C75F0F">
              <w:rPr>
                <w:b/>
                <w:lang w:bidi="fr-CA"/>
              </w:rPr>
              <w:t>.</w:t>
            </w:r>
            <w:r>
              <w:rPr>
                <w:b/>
                <w:lang w:bidi="fr-CA"/>
              </w:rPr>
              <w:t>2</w:t>
            </w:r>
          </w:p>
          <w:p w14:paraId="16946C5F" w14:textId="77777777" w:rsidR="00FC15A4" w:rsidRDefault="00000000">
            <w:pPr>
              <w:pStyle w:val="TableParagraph"/>
              <w:spacing w:line="252" w:lineRule="exact"/>
              <w:rPr>
                <w:rFonts w:ascii="Arial"/>
                <w:b/>
              </w:rPr>
            </w:pPr>
            <w:r>
              <w:rPr>
                <w:b/>
                <w:lang w:bidi="fr-CA"/>
              </w:rPr>
              <w:t>Enquête du comité de déontologie</w:t>
            </w:r>
          </w:p>
          <w:p w14:paraId="570E48AF" w14:textId="1012D43D" w:rsidR="00FC15A4" w:rsidRDefault="00000000">
            <w:pPr>
              <w:pStyle w:val="TableParagraph"/>
              <w:numPr>
                <w:ilvl w:val="0"/>
                <w:numId w:val="5"/>
              </w:numPr>
              <w:tabs>
                <w:tab w:val="left" w:pos="835"/>
                <w:tab w:val="left" w:pos="836"/>
              </w:tabs>
              <w:spacing w:before="3" w:line="237" w:lineRule="auto"/>
              <w:ind w:right="847"/>
              <w:rPr>
                <w:rFonts w:ascii="Symbol" w:hAnsi="Symbol"/>
              </w:rPr>
            </w:pPr>
            <w:r>
              <w:rPr>
                <w:lang w:bidi="fr-CA"/>
              </w:rPr>
              <w:t>Le responsable met tout en œuvre pour convoquer le comité de déontologie et mener à bien l’enquête sur une plainte s’inscrivant dans le cadre du Code dans les 30</w:t>
            </w:r>
            <w:r w:rsidR="00C75F0F">
              <w:rPr>
                <w:lang w:bidi="fr-CA"/>
              </w:rPr>
              <w:t> </w:t>
            </w:r>
            <w:r>
              <w:rPr>
                <w:lang w:bidi="fr-CA"/>
              </w:rPr>
              <w:t>jours à compter de la date à laquelle le Bureau lui a transmis la plainte en question.</w:t>
            </w:r>
          </w:p>
          <w:p w14:paraId="5A07490D" w14:textId="77777777" w:rsidR="00FC15A4" w:rsidRDefault="00000000">
            <w:pPr>
              <w:pStyle w:val="TableParagraph"/>
              <w:numPr>
                <w:ilvl w:val="0"/>
                <w:numId w:val="5"/>
              </w:numPr>
              <w:tabs>
                <w:tab w:val="left" w:pos="835"/>
                <w:tab w:val="left" w:pos="836"/>
              </w:tabs>
              <w:spacing w:before="1"/>
              <w:ind w:right="289"/>
              <w:rPr>
                <w:rFonts w:ascii="Symbol" w:hAnsi="Symbol"/>
              </w:rPr>
            </w:pPr>
            <w:r>
              <w:rPr>
                <w:lang w:bidi="fr-CA"/>
              </w:rPr>
              <w:t>Si la plainte crée un conflit d’intérêts avec un membre du comité de déontologie, ce dernier est exclu du Comité pour la durée de l’enquête et peut être remplacé par un autre membre du conseil d’administration désigné par le président.</w:t>
            </w:r>
          </w:p>
          <w:p w14:paraId="648A4BA4" w14:textId="45BF746B" w:rsidR="00FC15A4" w:rsidRDefault="00000000">
            <w:pPr>
              <w:pStyle w:val="TableParagraph"/>
              <w:numPr>
                <w:ilvl w:val="0"/>
                <w:numId w:val="5"/>
              </w:numPr>
              <w:tabs>
                <w:tab w:val="left" w:pos="835"/>
                <w:tab w:val="left" w:pos="836"/>
              </w:tabs>
              <w:spacing w:before="2" w:line="237" w:lineRule="auto"/>
              <w:ind w:right="137"/>
              <w:rPr>
                <w:rFonts w:ascii="Symbol" w:hAnsi="Symbol"/>
                <w:i/>
                <w:color w:val="212121"/>
              </w:rPr>
            </w:pPr>
            <w:r>
              <w:rPr>
                <w:color w:val="212121"/>
                <w:lang w:bidi="fr-CA"/>
              </w:rPr>
              <w:t>Toutes les personnes participant à une enquête sur une violation présumée du Code sont responsables en tout temps de la protection des renseignements personnels et de nature délicate et de leur traitement équitable, conformément à la politique opérationnelle nationale n°</w:t>
            </w:r>
            <w:r w:rsidR="00C75F0F">
              <w:rPr>
                <w:color w:val="212121"/>
                <w:lang w:bidi="fr-CA"/>
              </w:rPr>
              <w:t> </w:t>
            </w:r>
            <w:r>
              <w:rPr>
                <w:color w:val="212121"/>
                <w:lang w:bidi="fr-CA"/>
              </w:rPr>
              <w:t>2.</w:t>
            </w:r>
          </w:p>
          <w:p w14:paraId="2884BD34" w14:textId="77777777" w:rsidR="00FC15A4" w:rsidRDefault="00000000">
            <w:pPr>
              <w:pStyle w:val="TableParagraph"/>
              <w:numPr>
                <w:ilvl w:val="0"/>
                <w:numId w:val="5"/>
              </w:numPr>
              <w:tabs>
                <w:tab w:val="left" w:pos="835"/>
                <w:tab w:val="left" w:pos="836"/>
              </w:tabs>
              <w:spacing w:before="6" w:line="237" w:lineRule="auto"/>
              <w:ind w:right="530"/>
              <w:rPr>
                <w:rFonts w:ascii="Symbol" w:hAnsi="Symbol"/>
              </w:rPr>
            </w:pPr>
            <w:r>
              <w:rPr>
                <w:lang w:bidi="fr-CA"/>
              </w:rPr>
              <w:t>Lorsqu’une plainte déposée contre un membre fait l’objet d’une enquête, ce dernier en est informé et le comité de déontologie lui offre la possibilité de s’entretenir avec lui au sujet des allégations formulées à son encontre.</w:t>
            </w:r>
          </w:p>
          <w:p w14:paraId="075B3994" w14:textId="77777777" w:rsidR="00FC15A4" w:rsidRDefault="00000000">
            <w:pPr>
              <w:pStyle w:val="TableParagraph"/>
              <w:numPr>
                <w:ilvl w:val="0"/>
                <w:numId w:val="5"/>
              </w:numPr>
              <w:tabs>
                <w:tab w:val="left" w:pos="835"/>
                <w:tab w:val="left" w:pos="836"/>
              </w:tabs>
              <w:spacing w:before="3" w:line="268" w:lineRule="exact"/>
              <w:ind w:hanging="361"/>
              <w:rPr>
                <w:rFonts w:ascii="Symbol" w:hAnsi="Symbol"/>
              </w:rPr>
            </w:pPr>
            <w:r>
              <w:rPr>
                <w:lang w:bidi="fr-CA"/>
              </w:rPr>
              <w:t>Le processus d’enquête se déroule comme suit :</w:t>
            </w:r>
          </w:p>
          <w:p w14:paraId="51BC9365" w14:textId="567FB3EA" w:rsidR="00FC15A4" w:rsidRDefault="00000000">
            <w:pPr>
              <w:pStyle w:val="TableParagraph"/>
              <w:numPr>
                <w:ilvl w:val="1"/>
                <w:numId w:val="5"/>
              </w:numPr>
              <w:tabs>
                <w:tab w:val="left" w:pos="1556"/>
              </w:tabs>
              <w:spacing w:line="262" w:lineRule="exact"/>
              <w:ind w:hanging="361"/>
            </w:pPr>
            <w:r>
              <w:rPr>
                <w:lang w:bidi="fr-CA"/>
              </w:rPr>
              <w:t>examiner la plainte</w:t>
            </w:r>
            <w:r w:rsidR="00C75F0F">
              <w:rPr>
                <w:lang w:bidi="fr-CA"/>
              </w:rPr>
              <w:t> </w:t>
            </w:r>
            <w:r>
              <w:rPr>
                <w:lang w:bidi="fr-CA"/>
              </w:rPr>
              <w:t>;</w:t>
            </w:r>
          </w:p>
          <w:p w14:paraId="4A6F5F1C" w14:textId="7C260B9E" w:rsidR="00FC15A4" w:rsidRDefault="00000000">
            <w:pPr>
              <w:pStyle w:val="TableParagraph"/>
              <w:numPr>
                <w:ilvl w:val="1"/>
                <w:numId w:val="5"/>
              </w:numPr>
              <w:tabs>
                <w:tab w:val="left" w:pos="1556"/>
              </w:tabs>
              <w:spacing w:line="253" w:lineRule="exact"/>
              <w:ind w:hanging="361"/>
            </w:pPr>
            <w:r>
              <w:rPr>
                <w:lang w:bidi="fr-CA"/>
              </w:rPr>
              <w:t>informer le membre de la plainte</w:t>
            </w:r>
            <w:r w:rsidR="00C75F0F">
              <w:rPr>
                <w:lang w:bidi="fr-CA"/>
              </w:rPr>
              <w:t> </w:t>
            </w:r>
            <w:r>
              <w:rPr>
                <w:lang w:bidi="fr-CA"/>
              </w:rPr>
              <w:t>;</w:t>
            </w:r>
          </w:p>
          <w:p w14:paraId="2DA091B6" w14:textId="5A98B704" w:rsidR="00FC15A4" w:rsidRDefault="00000000">
            <w:pPr>
              <w:pStyle w:val="TableParagraph"/>
              <w:numPr>
                <w:ilvl w:val="1"/>
                <w:numId w:val="5"/>
              </w:numPr>
              <w:tabs>
                <w:tab w:val="left" w:pos="1556"/>
              </w:tabs>
              <w:spacing w:line="253" w:lineRule="exact"/>
              <w:ind w:hanging="361"/>
            </w:pPr>
            <w:r>
              <w:rPr>
                <w:lang w:bidi="fr-CA"/>
              </w:rPr>
              <w:t>rencontrer le plaignant et rassembler toute la documentation pertinente</w:t>
            </w:r>
            <w:r w:rsidR="00C75F0F">
              <w:rPr>
                <w:lang w:bidi="fr-CA"/>
              </w:rPr>
              <w:t> </w:t>
            </w:r>
            <w:r>
              <w:rPr>
                <w:lang w:bidi="fr-CA"/>
              </w:rPr>
              <w:t>;</w:t>
            </w:r>
          </w:p>
          <w:p w14:paraId="0402B31C" w14:textId="2FB1EFCB" w:rsidR="00FC15A4" w:rsidRDefault="00000000">
            <w:pPr>
              <w:pStyle w:val="TableParagraph"/>
              <w:numPr>
                <w:ilvl w:val="1"/>
                <w:numId w:val="5"/>
              </w:numPr>
              <w:tabs>
                <w:tab w:val="left" w:pos="1556"/>
              </w:tabs>
              <w:spacing w:line="263" w:lineRule="exact"/>
              <w:ind w:hanging="361"/>
            </w:pPr>
            <w:r>
              <w:rPr>
                <w:lang w:bidi="fr-CA"/>
              </w:rPr>
              <w:t>rencontrer les témoins, si nécessaire, et rassembler toute la documentation pertinente</w:t>
            </w:r>
            <w:r w:rsidR="00C75F0F">
              <w:rPr>
                <w:lang w:bidi="fr-CA"/>
              </w:rPr>
              <w:t> </w:t>
            </w:r>
            <w:r>
              <w:rPr>
                <w:lang w:bidi="fr-CA"/>
              </w:rPr>
              <w:t>;</w:t>
            </w:r>
          </w:p>
        </w:tc>
      </w:tr>
    </w:tbl>
    <w:p w14:paraId="243EA5F6" w14:textId="77777777" w:rsidR="00FC15A4" w:rsidRDefault="00FC15A4">
      <w:pPr>
        <w:spacing w:line="263" w:lineRule="exact"/>
        <w:sectPr w:rsidR="00FC15A4" w:rsidSect="0084098A">
          <w:pgSz w:w="12240" w:h="15840"/>
          <w:pgMar w:top="1196" w:right="1100" w:bottom="1325" w:left="1080" w:header="0" w:footer="1004" w:gutter="0"/>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6"/>
      </w:tblGrid>
      <w:tr w:rsidR="00FC15A4" w14:paraId="1ACA8E09" w14:textId="77777777">
        <w:trPr>
          <w:trHeight w:val="1830"/>
        </w:trPr>
        <w:tc>
          <w:tcPr>
            <w:tcW w:w="9796" w:type="dxa"/>
            <w:tcBorders>
              <w:bottom w:val="nil"/>
            </w:tcBorders>
          </w:tcPr>
          <w:p w14:paraId="12718E6F" w14:textId="58490255" w:rsidR="00FC15A4" w:rsidRDefault="00000000">
            <w:pPr>
              <w:pStyle w:val="TableParagraph"/>
              <w:numPr>
                <w:ilvl w:val="0"/>
                <w:numId w:val="4"/>
              </w:numPr>
              <w:tabs>
                <w:tab w:val="left" w:pos="1556"/>
              </w:tabs>
              <w:spacing w:before="57" w:line="264" w:lineRule="exact"/>
              <w:ind w:hanging="361"/>
            </w:pPr>
            <w:r>
              <w:rPr>
                <w:lang w:bidi="fr-CA"/>
              </w:rPr>
              <w:lastRenderedPageBreak/>
              <w:t>transmettre au membre le détail des allégations</w:t>
            </w:r>
            <w:r w:rsidR="00C75F0F">
              <w:rPr>
                <w:lang w:bidi="fr-CA"/>
              </w:rPr>
              <w:t> </w:t>
            </w:r>
            <w:r>
              <w:rPr>
                <w:lang w:bidi="fr-CA"/>
              </w:rPr>
              <w:t>;</w:t>
            </w:r>
          </w:p>
          <w:p w14:paraId="2971F76A" w14:textId="03EB4A94" w:rsidR="00FC15A4" w:rsidRDefault="00000000">
            <w:pPr>
              <w:pStyle w:val="TableParagraph"/>
              <w:numPr>
                <w:ilvl w:val="0"/>
                <w:numId w:val="4"/>
              </w:numPr>
              <w:tabs>
                <w:tab w:val="left" w:pos="1556"/>
              </w:tabs>
              <w:spacing w:line="253" w:lineRule="exact"/>
              <w:ind w:hanging="361"/>
            </w:pPr>
            <w:r>
              <w:rPr>
                <w:lang w:bidi="fr-CA"/>
              </w:rPr>
              <w:t>rencontrer le membre et rassembler toute la documentation pertinente</w:t>
            </w:r>
            <w:r w:rsidR="00C75F0F">
              <w:rPr>
                <w:lang w:bidi="fr-CA"/>
              </w:rPr>
              <w:t> </w:t>
            </w:r>
            <w:r>
              <w:rPr>
                <w:lang w:bidi="fr-CA"/>
              </w:rPr>
              <w:t>;</w:t>
            </w:r>
          </w:p>
          <w:p w14:paraId="142D751A" w14:textId="711079F5" w:rsidR="00FC15A4" w:rsidRDefault="00000000">
            <w:pPr>
              <w:pStyle w:val="TableParagraph"/>
              <w:numPr>
                <w:ilvl w:val="0"/>
                <w:numId w:val="4"/>
              </w:numPr>
              <w:tabs>
                <w:tab w:val="left" w:pos="1556"/>
              </w:tabs>
              <w:spacing w:line="232" w:lineRule="auto"/>
              <w:ind w:right="142"/>
            </w:pPr>
            <w:r>
              <w:rPr>
                <w:lang w:bidi="fr-CA"/>
              </w:rPr>
              <w:t>préparer un résumé écrit des preuves rassemblées, effectuer des évaluations de crédibilité et tirer des conclusions de fait (selon la prépondérance des probabilités), déterminer s’il y a eu faute (et établir le niveau de gravité de la faute </w:t>
            </w:r>
            <w:r w:rsidR="00C75F0F">
              <w:rPr>
                <w:lang w:bidi="fr-CA"/>
              </w:rPr>
              <w:t>—</w:t>
            </w:r>
            <w:r>
              <w:rPr>
                <w:lang w:bidi="fr-CA"/>
              </w:rPr>
              <w:t xml:space="preserve"> voir section 2.3 ci-dessous), joindre les documents pertinents au résumé écrit,</w:t>
            </w:r>
          </w:p>
          <w:p w14:paraId="2EF226E3" w14:textId="77777777" w:rsidR="00FC15A4" w:rsidRDefault="00000000">
            <w:pPr>
              <w:pStyle w:val="TableParagraph"/>
              <w:spacing w:before="2" w:line="233" w:lineRule="exact"/>
              <w:ind w:left="1555"/>
            </w:pPr>
            <w:r>
              <w:rPr>
                <w:lang w:bidi="fr-CA"/>
              </w:rPr>
              <w:t>formuler une recommandation au conseil d’administration concernant les mesures disciplinaires à prendre, le cas échéant.</w:t>
            </w:r>
          </w:p>
        </w:tc>
      </w:tr>
      <w:tr w:rsidR="00FC15A4" w14:paraId="145E4583" w14:textId="77777777" w:rsidTr="00C75F0F">
        <w:trPr>
          <w:trHeight w:val="587"/>
        </w:trPr>
        <w:tc>
          <w:tcPr>
            <w:tcW w:w="9796" w:type="dxa"/>
            <w:tcBorders>
              <w:top w:val="nil"/>
            </w:tcBorders>
          </w:tcPr>
          <w:p w14:paraId="67B7B241" w14:textId="77777777" w:rsidR="00FC15A4" w:rsidRDefault="00000000">
            <w:pPr>
              <w:pStyle w:val="TableParagraph"/>
              <w:numPr>
                <w:ilvl w:val="0"/>
                <w:numId w:val="3"/>
              </w:numPr>
              <w:tabs>
                <w:tab w:val="left" w:pos="835"/>
                <w:tab w:val="left" w:pos="836"/>
              </w:tabs>
              <w:spacing w:before="3" w:line="237" w:lineRule="auto"/>
              <w:ind w:right="434"/>
            </w:pPr>
            <w:r>
              <w:rPr>
                <w:lang w:bidi="fr-CA"/>
              </w:rPr>
              <w:t>Une plainte peut être impossible à étayer si les opinions du plaignant et du membre divergent sur ce qui s’est passé et s’il n’existe aucun élément de preuve fiable susceptible de justifier une violation du Code. Les plaintes non fondées seront classées sans suite.</w:t>
            </w:r>
          </w:p>
          <w:p w14:paraId="0D3E504B" w14:textId="77777777" w:rsidR="00FC15A4" w:rsidRDefault="00FC15A4">
            <w:pPr>
              <w:pStyle w:val="TableParagraph"/>
              <w:spacing w:before="2"/>
              <w:ind w:left="0"/>
              <w:rPr>
                <w:rFonts w:ascii="Times New Roman"/>
              </w:rPr>
            </w:pPr>
          </w:p>
          <w:p w14:paraId="2A9AF735" w14:textId="250A9B2B" w:rsidR="00FC15A4" w:rsidRDefault="00000000">
            <w:pPr>
              <w:pStyle w:val="TableParagraph"/>
              <w:spacing w:line="252" w:lineRule="exact"/>
              <w:rPr>
                <w:rFonts w:ascii="Arial"/>
                <w:b/>
              </w:rPr>
            </w:pPr>
            <w:r>
              <w:rPr>
                <w:b/>
                <w:lang w:bidi="fr-CA"/>
              </w:rPr>
              <w:t>2</w:t>
            </w:r>
            <w:r w:rsidR="00C75F0F">
              <w:rPr>
                <w:b/>
                <w:lang w:bidi="fr-CA"/>
              </w:rPr>
              <w:t>.</w:t>
            </w:r>
            <w:r>
              <w:rPr>
                <w:b/>
                <w:lang w:bidi="fr-CA"/>
              </w:rPr>
              <w:t>3</w:t>
            </w:r>
          </w:p>
          <w:p w14:paraId="160A7B4E" w14:textId="77777777" w:rsidR="00FC15A4" w:rsidRDefault="00000000">
            <w:pPr>
              <w:pStyle w:val="TableParagraph"/>
              <w:spacing w:line="252" w:lineRule="exact"/>
              <w:rPr>
                <w:rFonts w:ascii="Arial"/>
                <w:b/>
              </w:rPr>
            </w:pPr>
            <w:r>
              <w:rPr>
                <w:b/>
                <w:lang w:bidi="fr-CA"/>
              </w:rPr>
              <w:t>Niveaux de faute</w:t>
            </w:r>
          </w:p>
          <w:p w14:paraId="2B292B04" w14:textId="77777777" w:rsidR="00FC15A4" w:rsidRDefault="00000000">
            <w:pPr>
              <w:pStyle w:val="TableParagraph"/>
              <w:spacing w:before="1"/>
            </w:pPr>
            <w:r>
              <w:rPr>
                <w:lang w:bidi="fr-CA"/>
              </w:rPr>
              <w:t>Les exemples de fautes suivants sont classés par ordre de gravité (de mineur à grave) :</w:t>
            </w:r>
          </w:p>
          <w:p w14:paraId="6563FD76" w14:textId="7498BF1E" w:rsidR="00FC15A4" w:rsidRDefault="00000000">
            <w:pPr>
              <w:pStyle w:val="TableParagraph"/>
              <w:numPr>
                <w:ilvl w:val="0"/>
                <w:numId w:val="3"/>
              </w:numPr>
              <w:tabs>
                <w:tab w:val="left" w:pos="835"/>
                <w:tab w:val="left" w:pos="836"/>
              </w:tabs>
              <w:spacing w:before="4" w:line="237" w:lineRule="auto"/>
              <w:ind w:right="479"/>
            </w:pPr>
            <w:r>
              <w:rPr>
                <w:lang w:bidi="fr-CA"/>
              </w:rPr>
              <w:t>le membre a été reconnu coupable d’une violation du Code, mais l’ICISP n’a subi aucun préjudice ou dommage</w:t>
            </w:r>
            <w:r w:rsidR="00C75F0F">
              <w:rPr>
                <w:lang w:bidi="fr-CA"/>
              </w:rPr>
              <w:t> </w:t>
            </w:r>
            <w:r>
              <w:rPr>
                <w:lang w:bidi="fr-CA"/>
              </w:rPr>
              <w:t>;</w:t>
            </w:r>
          </w:p>
          <w:p w14:paraId="47FF7CDF" w14:textId="22E8DA4F" w:rsidR="00FC15A4" w:rsidRDefault="00000000">
            <w:pPr>
              <w:pStyle w:val="TableParagraph"/>
              <w:numPr>
                <w:ilvl w:val="0"/>
                <w:numId w:val="3"/>
              </w:numPr>
              <w:tabs>
                <w:tab w:val="left" w:pos="835"/>
                <w:tab w:val="left" w:pos="836"/>
              </w:tabs>
              <w:spacing w:before="4" w:line="237" w:lineRule="auto"/>
              <w:ind w:right="546"/>
            </w:pPr>
            <w:r>
              <w:rPr>
                <w:lang w:bidi="fr-CA"/>
              </w:rPr>
              <w:t>le membre enfreint le Code une troisième fois en cinq ans, après deux plaintes antérieures fondées</w:t>
            </w:r>
            <w:r w:rsidR="00C75F0F">
              <w:rPr>
                <w:lang w:bidi="fr-CA"/>
              </w:rPr>
              <w:t> </w:t>
            </w:r>
            <w:r>
              <w:rPr>
                <w:lang w:bidi="fr-CA"/>
              </w:rPr>
              <w:t>;</w:t>
            </w:r>
          </w:p>
          <w:p w14:paraId="2F664B28" w14:textId="5A0BDEA4" w:rsidR="00FC15A4" w:rsidRDefault="00000000">
            <w:pPr>
              <w:pStyle w:val="TableParagraph"/>
              <w:numPr>
                <w:ilvl w:val="0"/>
                <w:numId w:val="3"/>
              </w:numPr>
              <w:tabs>
                <w:tab w:val="left" w:pos="835"/>
                <w:tab w:val="left" w:pos="836"/>
              </w:tabs>
              <w:spacing w:before="3" w:line="237" w:lineRule="auto"/>
              <w:ind w:right="423"/>
            </w:pPr>
            <w:r>
              <w:rPr>
                <w:lang w:bidi="fr-CA"/>
              </w:rPr>
              <w:t>la réaction d’un membre après avoir été informé d’une plainte logée à son encontre pour violation du Code révèle que l’infraction était intentionnelle et/ou qu’il refuse ou est incapable de se conformer au Code</w:t>
            </w:r>
            <w:r w:rsidR="00C75F0F">
              <w:rPr>
                <w:lang w:bidi="fr-CA"/>
              </w:rPr>
              <w:t> </w:t>
            </w:r>
            <w:r>
              <w:rPr>
                <w:lang w:bidi="fr-CA"/>
              </w:rPr>
              <w:t>;</w:t>
            </w:r>
          </w:p>
          <w:p w14:paraId="025E16B3" w14:textId="544CA541" w:rsidR="00FC15A4" w:rsidRDefault="00000000">
            <w:pPr>
              <w:pStyle w:val="TableParagraph"/>
              <w:numPr>
                <w:ilvl w:val="0"/>
                <w:numId w:val="3"/>
              </w:numPr>
              <w:tabs>
                <w:tab w:val="left" w:pos="835"/>
                <w:tab w:val="left" w:pos="836"/>
              </w:tabs>
              <w:spacing w:before="4" w:line="237" w:lineRule="auto"/>
              <w:ind w:right="224"/>
            </w:pPr>
            <w:r>
              <w:rPr>
                <w:lang w:bidi="fr-CA"/>
              </w:rPr>
              <w:t>une violation concerne des comportements pour lesquels l’ICISP applique le principe de «</w:t>
            </w:r>
            <w:r w:rsidR="00C75F0F">
              <w:rPr>
                <w:lang w:bidi="fr-CA"/>
              </w:rPr>
              <w:t> </w:t>
            </w:r>
            <w:r>
              <w:rPr>
                <w:lang w:bidi="fr-CA"/>
              </w:rPr>
              <w:t>tolérance zéro</w:t>
            </w:r>
            <w:r w:rsidR="00C75F0F">
              <w:rPr>
                <w:lang w:bidi="fr-CA"/>
              </w:rPr>
              <w:t> </w:t>
            </w:r>
            <w:r>
              <w:rPr>
                <w:lang w:bidi="fr-CA"/>
              </w:rPr>
              <w:t>» (par exemple, le harcèlement personnel ou sexuel, les abus physiques, verbaux ou émotionnels ou la discrimination)</w:t>
            </w:r>
            <w:r w:rsidR="00C75F0F">
              <w:rPr>
                <w:lang w:bidi="fr-CA"/>
              </w:rPr>
              <w:t> </w:t>
            </w:r>
            <w:r>
              <w:rPr>
                <w:lang w:bidi="fr-CA"/>
              </w:rPr>
              <w:t>; ou</w:t>
            </w:r>
          </w:p>
          <w:p w14:paraId="6E998A58" w14:textId="40141CD7" w:rsidR="00FC15A4" w:rsidRDefault="00000000">
            <w:pPr>
              <w:pStyle w:val="TableParagraph"/>
              <w:numPr>
                <w:ilvl w:val="0"/>
                <w:numId w:val="3"/>
              </w:numPr>
              <w:tabs>
                <w:tab w:val="left" w:pos="835"/>
                <w:tab w:val="left" w:pos="836"/>
              </w:tabs>
              <w:spacing w:before="3" w:line="237" w:lineRule="auto"/>
              <w:ind w:right="312"/>
            </w:pPr>
            <w:r>
              <w:rPr>
                <w:lang w:bidi="fr-CA"/>
              </w:rPr>
              <w:t>la violation a causé un préjudice réel à l’ICISP et/ou a entravé les activités d’une branche provinciale de l’ICISP, du conseil d’administration ou de tout groupe de travail, comité, etc.</w:t>
            </w:r>
            <w:r w:rsidR="00C75F0F">
              <w:rPr>
                <w:lang w:bidi="fr-CA"/>
              </w:rPr>
              <w:t>,</w:t>
            </w:r>
            <w:r>
              <w:rPr>
                <w:lang w:bidi="fr-CA"/>
              </w:rPr>
              <w:t xml:space="preserve"> associé aux branches ou au conseil d’administration.</w:t>
            </w:r>
          </w:p>
          <w:p w14:paraId="135D5074" w14:textId="77777777" w:rsidR="00FC15A4" w:rsidRDefault="00FC15A4">
            <w:pPr>
              <w:pStyle w:val="TableParagraph"/>
              <w:spacing w:before="2"/>
              <w:ind w:left="0"/>
              <w:rPr>
                <w:rFonts w:ascii="Times New Roman"/>
              </w:rPr>
            </w:pPr>
          </w:p>
          <w:p w14:paraId="7DE42DB5" w14:textId="5CF15371" w:rsidR="00FC15A4" w:rsidRDefault="00000000">
            <w:pPr>
              <w:pStyle w:val="TableParagraph"/>
              <w:spacing w:before="1" w:line="252" w:lineRule="exact"/>
              <w:rPr>
                <w:rFonts w:ascii="Arial"/>
                <w:b/>
              </w:rPr>
            </w:pPr>
            <w:r>
              <w:rPr>
                <w:b/>
                <w:lang w:bidi="fr-CA"/>
              </w:rPr>
              <w:t>2</w:t>
            </w:r>
            <w:r w:rsidR="00C75F0F">
              <w:rPr>
                <w:b/>
                <w:lang w:bidi="fr-CA"/>
              </w:rPr>
              <w:t>.</w:t>
            </w:r>
            <w:r>
              <w:rPr>
                <w:b/>
                <w:lang w:bidi="fr-CA"/>
              </w:rPr>
              <w:t>4</w:t>
            </w:r>
          </w:p>
          <w:p w14:paraId="35BA621B" w14:textId="77777777" w:rsidR="00FC15A4" w:rsidRDefault="00000000">
            <w:pPr>
              <w:pStyle w:val="TableParagraph"/>
              <w:spacing w:line="252" w:lineRule="exact"/>
              <w:rPr>
                <w:rFonts w:ascii="Arial"/>
                <w:b/>
              </w:rPr>
            </w:pPr>
            <w:r>
              <w:rPr>
                <w:b/>
                <w:lang w:bidi="fr-CA"/>
              </w:rPr>
              <w:t>Mesures disciplinaires</w:t>
            </w:r>
          </w:p>
          <w:p w14:paraId="4A526845" w14:textId="1CD0703B" w:rsidR="00FC15A4" w:rsidRDefault="00000000">
            <w:pPr>
              <w:pStyle w:val="TableParagraph"/>
              <w:spacing w:before="2"/>
              <w:ind w:right="321"/>
            </w:pPr>
            <w:r>
              <w:rPr>
                <w:lang w:bidi="fr-CA"/>
              </w:rPr>
              <w:t>Les mesures disciplinaires à l’encontre d’un membre recommandé</w:t>
            </w:r>
            <w:r w:rsidR="00C75F0F">
              <w:rPr>
                <w:lang w:bidi="fr-CA"/>
              </w:rPr>
              <w:t>es</w:t>
            </w:r>
            <w:r>
              <w:rPr>
                <w:lang w:bidi="fr-CA"/>
              </w:rPr>
              <w:t xml:space="preserve"> par le comité de déontologie doivent être approuvées par un vote à la majorité simple du conseil d’administration. Les membres du comité de déontologie membres du conseil d’administration peuvent prendre part au vote.</w:t>
            </w:r>
          </w:p>
          <w:p w14:paraId="5676FD53" w14:textId="77777777" w:rsidR="00FC15A4" w:rsidRDefault="00FC15A4">
            <w:pPr>
              <w:pStyle w:val="TableParagraph"/>
              <w:spacing w:before="9"/>
              <w:ind w:left="0"/>
              <w:rPr>
                <w:rFonts w:ascii="Times New Roman"/>
                <w:sz w:val="21"/>
              </w:rPr>
            </w:pPr>
          </w:p>
          <w:p w14:paraId="2DE14653" w14:textId="7353ADCD" w:rsidR="00FC15A4" w:rsidRDefault="00000000">
            <w:pPr>
              <w:pStyle w:val="TableParagraph"/>
              <w:ind w:right="197"/>
            </w:pPr>
            <w:r>
              <w:rPr>
                <w:lang w:bidi="fr-CA"/>
              </w:rPr>
              <w:t>Les mesures disciplinaires doivent être proportionnel</w:t>
            </w:r>
            <w:r w:rsidR="00C75F0F">
              <w:rPr>
                <w:lang w:bidi="fr-CA"/>
              </w:rPr>
              <w:t>les</w:t>
            </w:r>
            <w:r>
              <w:rPr>
                <w:lang w:bidi="fr-CA"/>
              </w:rPr>
              <w:t xml:space="preserve"> à la gravité de la faute. Les mesures disciplinaires prises à l’encontre d’un membre comprennent, entre autres :</w:t>
            </w:r>
          </w:p>
          <w:p w14:paraId="3653AA95" w14:textId="2011CAEA" w:rsidR="00FC15A4" w:rsidRDefault="00000000">
            <w:pPr>
              <w:pStyle w:val="TableParagraph"/>
              <w:numPr>
                <w:ilvl w:val="0"/>
                <w:numId w:val="3"/>
              </w:numPr>
              <w:tabs>
                <w:tab w:val="left" w:pos="835"/>
                <w:tab w:val="left" w:pos="836"/>
              </w:tabs>
              <w:spacing w:before="3" w:line="268" w:lineRule="exact"/>
              <w:ind w:hanging="361"/>
            </w:pPr>
            <w:r>
              <w:rPr>
                <w:lang w:bidi="fr-CA"/>
              </w:rPr>
              <w:t>un avertissement écrit énonçant les conséquences de nouvelles violations</w:t>
            </w:r>
            <w:r w:rsidR="00C75F0F">
              <w:rPr>
                <w:lang w:bidi="fr-CA"/>
              </w:rPr>
              <w:t> </w:t>
            </w:r>
            <w:r>
              <w:rPr>
                <w:lang w:bidi="fr-CA"/>
              </w:rPr>
              <w:t>;</w:t>
            </w:r>
          </w:p>
          <w:p w14:paraId="42C3D418" w14:textId="65A22DC0" w:rsidR="00FC15A4" w:rsidRDefault="00000000">
            <w:pPr>
              <w:pStyle w:val="TableParagraph"/>
              <w:numPr>
                <w:ilvl w:val="0"/>
                <w:numId w:val="3"/>
              </w:numPr>
              <w:tabs>
                <w:tab w:val="left" w:pos="835"/>
                <w:tab w:val="left" w:pos="836"/>
              </w:tabs>
              <w:spacing w:line="268" w:lineRule="exact"/>
              <w:ind w:hanging="361"/>
            </w:pPr>
            <w:r>
              <w:rPr>
                <w:lang w:bidi="fr-CA"/>
              </w:rPr>
              <w:t>le membre doit suivre un cours d’éthique accepté par le conseil d’administration</w:t>
            </w:r>
            <w:r w:rsidR="00C75F0F">
              <w:rPr>
                <w:lang w:bidi="fr-CA"/>
              </w:rPr>
              <w:t> </w:t>
            </w:r>
            <w:r>
              <w:rPr>
                <w:lang w:bidi="fr-CA"/>
              </w:rPr>
              <w:t>;</w:t>
            </w:r>
          </w:p>
          <w:p w14:paraId="6DAC7EDF" w14:textId="19C2082D" w:rsidR="00FC15A4" w:rsidRDefault="00000000">
            <w:pPr>
              <w:pStyle w:val="TableParagraph"/>
              <w:numPr>
                <w:ilvl w:val="0"/>
                <w:numId w:val="3"/>
              </w:numPr>
              <w:tabs>
                <w:tab w:val="left" w:pos="835"/>
                <w:tab w:val="left" w:pos="836"/>
              </w:tabs>
              <w:spacing w:before="2" w:line="237" w:lineRule="auto"/>
              <w:ind w:right="488"/>
            </w:pPr>
            <w:r>
              <w:rPr>
                <w:lang w:bidi="fr-CA"/>
              </w:rPr>
              <w:t>la suspension ou le retrait définitif de la nomination du membre aux comités ou aux activités de l’ICISP</w:t>
            </w:r>
            <w:r w:rsidR="00C75F0F">
              <w:rPr>
                <w:lang w:bidi="fr-CA"/>
              </w:rPr>
              <w:t> </w:t>
            </w:r>
            <w:r>
              <w:rPr>
                <w:lang w:bidi="fr-CA"/>
              </w:rPr>
              <w:t>;</w:t>
            </w:r>
          </w:p>
          <w:p w14:paraId="0D8C2F45" w14:textId="66E03D83" w:rsidR="00FC15A4" w:rsidRDefault="00000000">
            <w:pPr>
              <w:pStyle w:val="TableParagraph"/>
              <w:numPr>
                <w:ilvl w:val="0"/>
                <w:numId w:val="3"/>
              </w:numPr>
              <w:tabs>
                <w:tab w:val="left" w:pos="835"/>
                <w:tab w:val="left" w:pos="836"/>
              </w:tabs>
              <w:spacing w:before="3" w:line="237" w:lineRule="auto"/>
              <w:ind w:right="568"/>
            </w:pPr>
            <w:r>
              <w:rPr>
                <w:lang w:bidi="fr-CA"/>
              </w:rPr>
              <w:t xml:space="preserve">la suspension ou l’expulsion de l’ICISP (conformément à l’article 4.03 </w:t>
            </w:r>
            <w:r w:rsidR="00C75F0F">
              <w:rPr>
                <w:lang w:bidi="fr-CA"/>
              </w:rPr>
              <w:t>[</w:t>
            </w:r>
            <w:r>
              <w:rPr>
                <w:lang w:bidi="fr-CA"/>
              </w:rPr>
              <w:t>a</w:t>
            </w:r>
            <w:r w:rsidR="00C75F0F">
              <w:rPr>
                <w:lang w:bidi="fr-CA"/>
              </w:rPr>
              <w:t>]</w:t>
            </w:r>
            <w:r>
              <w:rPr>
                <w:lang w:bidi="fr-CA"/>
              </w:rPr>
              <w:t xml:space="preserve"> </w:t>
            </w:r>
            <w:r w:rsidR="00C75F0F">
              <w:rPr>
                <w:lang w:bidi="fr-CA"/>
              </w:rPr>
              <w:t>[</w:t>
            </w:r>
            <w:r>
              <w:rPr>
                <w:lang w:bidi="fr-CA"/>
              </w:rPr>
              <w:t>iv</w:t>
            </w:r>
            <w:r w:rsidR="00C75F0F">
              <w:rPr>
                <w:lang w:bidi="fr-CA"/>
              </w:rPr>
              <w:t>]</w:t>
            </w:r>
            <w:r>
              <w:rPr>
                <w:lang w:bidi="fr-CA"/>
              </w:rPr>
              <w:t xml:space="preserve"> du règlement n°</w:t>
            </w:r>
            <w:r w:rsidR="00C75F0F">
              <w:rPr>
                <w:lang w:bidi="fr-CA"/>
              </w:rPr>
              <w:t> </w:t>
            </w:r>
            <w:r>
              <w:rPr>
                <w:lang w:bidi="fr-CA"/>
              </w:rPr>
              <w:t>1)</w:t>
            </w:r>
            <w:r w:rsidR="00C75F0F">
              <w:rPr>
                <w:lang w:bidi="fr-CA"/>
              </w:rPr>
              <w:t> </w:t>
            </w:r>
            <w:r>
              <w:rPr>
                <w:lang w:bidi="fr-CA"/>
              </w:rPr>
              <w:t>;</w:t>
            </w:r>
          </w:p>
          <w:p w14:paraId="55FE2017" w14:textId="1EEB9A22" w:rsidR="00FC15A4" w:rsidRDefault="00000000">
            <w:pPr>
              <w:pStyle w:val="TableParagraph"/>
              <w:numPr>
                <w:ilvl w:val="0"/>
                <w:numId w:val="3"/>
              </w:numPr>
              <w:tabs>
                <w:tab w:val="left" w:pos="835"/>
                <w:tab w:val="left" w:pos="836"/>
              </w:tabs>
              <w:spacing w:before="4" w:line="237" w:lineRule="auto"/>
              <w:ind w:right="103"/>
            </w:pPr>
            <w:r>
              <w:rPr>
                <w:lang w:bidi="fr-CA"/>
              </w:rPr>
              <w:t xml:space="preserve">la résiliation de l’adhésion à la suite d’une expulsion (conformément à l’article 4.02 </w:t>
            </w:r>
            <w:r w:rsidR="00C75F0F">
              <w:rPr>
                <w:lang w:bidi="fr-CA"/>
              </w:rPr>
              <w:t>[</w:t>
            </w:r>
            <w:r>
              <w:rPr>
                <w:lang w:bidi="fr-CA"/>
              </w:rPr>
              <w:t>a</w:t>
            </w:r>
            <w:r w:rsidR="00C75F0F">
              <w:rPr>
                <w:lang w:bidi="fr-CA"/>
              </w:rPr>
              <w:t>] [</w:t>
            </w:r>
            <w:r>
              <w:rPr>
                <w:lang w:bidi="fr-CA"/>
              </w:rPr>
              <w:t>iv</w:t>
            </w:r>
            <w:r w:rsidR="00C75F0F">
              <w:rPr>
                <w:lang w:bidi="fr-CA"/>
              </w:rPr>
              <w:t>]</w:t>
            </w:r>
            <w:r>
              <w:rPr>
                <w:lang w:bidi="fr-CA"/>
              </w:rPr>
              <w:t xml:space="preserve"> du règlement n°</w:t>
            </w:r>
            <w:r w:rsidR="00C75F0F">
              <w:rPr>
                <w:lang w:bidi="fr-CA"/>
              </w:rPr>
              <w:t> </w:t>
            </w:r>
            <w:r>
              <w:rPr>
                <w:lang w:bidi="fr-CA"/>
              </w:rPr>
              <w:t>1).</w:t>
            </w:r>
          </w:p>
          <w:p w14:paraId="1121EAC6" w14:textId="77777777" w:rsidR="00FC15A4" w:rsidRDefault="00FC15A4">
            <w:pPr>
              <w:pStyle w:val="TableParagraph"/>
              <w:spacing w:before="1"/>
              <w:ind w:left="0"/>
              <w:rPr>
                <w:rFonts w:ascii="Times New Roman"/>
              </w:rPr>
            </w:pPr>
          </w:p>
          <w:p w14:paraId="5D386E4B" w14:textId="77777777" w:rsidR="00FC15A4" w:rsidRDefault="00000000">
            <w:pPr>
              <w:pStyle w:val="TableParagraph"/>
              <w:ind w:right="1078"/>
            </w:pPr>
            <w:r>
              <w:rPr>
                <w:lang w:bidi="fr-CA"/>
              </w:rPr>
              <w:t>Au moment de prendre une mesure disciplinaire, il convient de tenir compte de ses répercussions sur la capacité du membre à conserver l’usage de son titre professionnel.</w:t>
            </w:r>
          </w:p>
          <w:p w14:paraId="58EC0E35" w14:textId="77777777" w:rsidR="00FC15A4" w:rsidRDefault="00FC15A4">
            <w:pPr>
              <w:pStyle w:val="TableParagraph"/>
              <w:spacing w:before="11"/>
              <w:ind w:left="0"/>
              <w:rPr>
                <w:rFonts w:ascii="Times New Roman"/>
                <w:sz w:val="21"/>
              </w:rPr>
            </w:pPr>
          </w:p>
          <w:p w14:paraId="72E9F4B9" w14:textId="36CE8D83" w:rsidR="00FC15A4" w:rsidRDefault="00000000">
            <w:pPr>
              <w:pStyle w:val="TableParagraph"/>
              <w:ind w:right="792"/>
            </w:pPr>
            <w:r>
              <w:rPr>
                <w:lang w:bidi="fr-CA"/>
              </w:rPr>
              <w:t xml:space="preserve">Si le conseil d’administration décide qu’un membre doit être exclu ou suspendu, </w:t>
            </w:r>
            <w:r>
              <w:rPr>
                <w:lang w:bidi="fr-CA"/>
              </w:rPr>
              <w:lastRenderedPageBreak/>
              <w:t>l’article 4.03 (a) (iv) du règlement n</w:t>
            </w:r>
            <w:r>
              <w:rPr>
                <w:vertAlign w:val="superscript"/>
                <w:lang w:bidi="fr-CA"/>
              </w:rPr>
              <w:t>o </w:t>
            </w:r>
            <w:r>
              <w:rPr>
                <w:lang w:bidi="fr-CA"/>
              </w:rPr>
              <w:t>1 (annexe</w:t>
            </w:r>
            <w:r w:rsidR="00C75F0F">
              <w:rPr>
                <w:lang w:bidi="fr-CA"/>
              </w:rPr>
              <w:t> </w:t>
            </w:r>
            <w:r>
              <w:rPr>
                <w:lang w:bidi="fr-CA"/>
              </w:rPr>
              <w:t>2) s’applique. La décision du conseil d’administration est finale et contraignante pour le membre, sans aucun autre droit d’appel.</w:t>
            </w:r>
          </w:p>
        </w:tc>
      </w:tr>
    </w:tbl>
    <w:p w14:paraId="7F9D6011" w14:textId="77777777" w:rsidR="00FC15A4" w:rsidRDefault="00FC15A4">
      <w:pPr>
        <w:sectPr w:rsidR="00FC15A4" w:rsidSect="0084098A">
          <w:pgSz w:w="12240" w:h="15840"/>
          <w:pgMar w:top="1200" w:right="1100" w:bottom="1200" w:left="1080" w:header="0" w:footer="1004" w:gutter="0"/>
          <w:cols w:space="720"/>
        </w:sectPr>
      </w:pPr>
    </w:p>
    <w:p w14:paraId="537B7631" w14:textId="77777777" w:rsidR="00FC15A4" w:rsidRDefault="0084098A">
      <w:pPr>
        <w:pStyle w:val="BodyText"/>
        <w:spacing w:before="10"/>
        <w:rPr>
          <w:rFonts w:ascii="Times New Roman"/>
          <w:sz w:val="19"/>
        </w:rPr>
      </w:pPr>
      <w:r>
        <w:rPr>
          <w:lang w:bidi="fr-CA"/>
        </w:rPr>
        <w:lastRenderedPageBreak/>
        <w:pict w14:anchorId="69D4254E">
          <v:shape id="_x0000_s2058" alt="" style="position:absolute;margin-left:60.7pt;margin-top:60pt;width:490.3pt;height:302.25pt;z-index:-15903232;mso-wrap-edited:f;mso-width-percent:0;mso-height-percent:0;mso-position-horizontal-relative:page;mso-position-vertical-relative:page;mso-width-percent:0;mso-height-percent:0" coordsize="9806,6045" o:spt="100" adj="0,,0" path="m10,l,,,10,,67,,6035r,9l10,6044r,-9l10,67r,-57l10,xm9806,r-9,l10,r,10l9797,10r,57l9797,6035r-9787,l10,6044r9787,l9806,6044r,-9l9806,67r,-57l9806,xe" fillcolor="black" stroked="f">
            <v:stroke joinstyle="round"/>
            <v:formulas/>
            <v:path arrowok="t" o:connecttype="custom" o:connectlocs="4032250,483870000;0,483870000;0,487902250;0,510886075;0,2147483646;0,2147483646;4032250,2147483646;4032250,2147483646;4032250,510886075;4032250,487902250;4032250,483870000;2147483646,483870000;2147483646,483870000;4032250,483870000;4032250,487902250;2147483646,487902250;2147483646,510886075;2147483646,2147483646;4032250,2147483646;4032250,2147483646;2147483646,2147483646;2147483646,2147483646;2147483646,2147483646;2147483646,510886075;2147483646,487902250;2147483646,483870000" o:connectangles="0,0,0,0,0,0,0,0,0,0,0,0,0,0,0,0,0,0,0,0,0,0,0,0,0,0"/>
            <w10:wrap anchorx="page" anchory="page"/>
          </v:shape>
        </w:pict>
      </w:r>
    </w:p>
    <w:p w14:paraId="4272261E" w14:textId="77777777" w:rsidR="00FC15A4" w:rsidRDefault="00000000">
      <w:pPr>
        <w:pStyle w:val="Heading3"/>
        <w:numPr>
          <w:ilvl w:val="1"/>
          <w:numId w:val="2"/>
        </w:numPr>
        <w:tabs>
          <w:tab w:val="left" w:pos="685"/>
        </w:tabs>
        <w:spacing w:before="93" w:line="240" w:lineRule="auto"/>
        <w:ind w:hanging="431"/>
      </w:pPr>
      <w:r>
        <w:rPr>
          <w:lang w:bidi="fr-CA"/>
        </w:rPr>
        <w:t>Documentation et communication</w:t>
      </w:r>
    </w:p>
    <w:p w14:paraId="50CEFFD6" w14:textId="77777777" w:rsidR="00FC15A4" w:rsidRDefault="00000000">
      <w:pPr>
        <w:pStyle w:val="ListParagraph"/>
        <w:numPr>
          <w:ilvl w:val="2"/>
          <w:numId w:val="2"/>
        </w:numPr>
        <w:tabs>
          <w:tab w:val="left" w:pos="974"/>
          <w:tab w:val="left" w:pos="975"/>
        </w:tabs>
        <w:spacing w:before="0" w:line="237" w:lineRule="auto"/>
        <w:ind w:right="311"/>
      </w:pPr>
      <w:r>
        <w:rPr>
          <w:lang w:bidi="fr-CA"/>
        </w:rPr>
        <w:t>Le Bureau consigne les détails de la plainte, les détails de la procédure d’examen, le résumé écrit du comité de déontologie et toute mesure corrective prise et les conserve en sécurité pendant cinq ans.</w:t>
      </w:r>
    </w:p>
    <w:p w14:paraId="3039A6A2" w14:textId="77777777" w:rsidR="00FC15A4" w:rsidRDefault="00000000">
      <w:pPr>
        <w:pStyle w:val="ListParagraph"/>
        <w:numPr>
          <w:ilvl w:val="2"/>
          <w:numId w:val="2"/>
        </w:numPr>
        <w:tabs>
          <w:tab w:val="left" w:pos="974"/>
          <w:tab w:val="left" w:pos="975"/>
        </w:tabs>
        <w:spacing w:before="3"/>
        <w:ind w:right="250"/>
      </w:pPr>
      <w:r>
        <w:rPr>
          <w:lang w:bidi="fr-CA"/>
        </w:rPr>
        <w:t>Le conseil d’administration informe le plaignant et le membre du résultat de l’examen de la manière qu’il juge appropriée à la situation, dans le respect de la confidentialité et de la vie privée des personnes concernées par la procédure.</w:t>
      </w:r>
    </w:p>
    <w:p w14:paraId="2EBA724A" w14:textId="77777777" w:rsidR="00FC15A4" w:rsidRDefault="00000000">
      <w:pPr>
        <w:pStyle w:val="ListParagraph"/>
        <w:numPr>
          <w:ilvl w:val="2"/>
          <w:numId w:val="2"/>
        </w:numPr>
        <w:tabs>
          <w:tab w:val="left" w:pos="974"/>
          <w:tab w:val="left" w:pos="975"/>
        </w:tabs>
        <w:spacing w:before="2" w:line="237" w:lineRule="auto"/>
        <w:ind w:right="531"/>
      </w:pPr>
      <w:r>
        <w:rPr>
          <w:lang w:bidi="fr-CA"/>
        </w:rPr>
        <w:t>Le Bureau informe le membre de toute mesure disciplinaire par lettre recommandée ou par courrier électronique.</w:t>
      </w:r>
    </w:p>
    <w:p w14:paraId="41BF47C4" w14:textId="77777777" w:rsidR="00FC15A4" w:rsidRDefault="00FC15A4">
      <w:pPr>
        <w:pStyle w:val="BodyText"/>
        <w:spacing w:before="1"/>
      </w:pPr>
    </w:p>
    <w:p w14:paraId="6230FD99" w14:textId="75B33E7C" w:rsidR="00FC15A4" w:rsidRDefault="00000000">
      <w:pPr>
        <w:pStyle w:val="Heading3"/>
      </w:pPr>
      <w:r>
        <w:rPr>
          <w:lang w:bidi="fr-CA"/>
        </w:rPr>
        <w:t>2</w:t>
      </w:r>
      <w:r w:rsidR="00C75F0F">
        <w:rPr>
          <w:lang w:bidi="fr-CA"/>
        </w:rPr>
        <w:t>.</w:t>
      </w:r>
      <w:r>
        <w:rPr>
          <w:lang w:bidi="fr-CA"/>
        </w:rPr>
        <w:t>6</w:t>
      </w:r>
    </w:p>
    <w:p w14:paraId="0C7DB6CB" w14:textId="77777777" w:rsidR="00FC15A4" w:rsidRDefault="00000000">
      <w:pPr>
        <w:spacing w:line="252" w:lineRule="exact"/>
        <w:ind w:left="254"/>
        <w:rPr>
          <w:rFonts w:ascii="Arial"/>
          <w:b/>
        </w:rPr>
      </w:pPr>
      <w:r>
        <w:rPr>
          <w:b/>
          <w:lang w:bidi="fr-CA"/>
        </w:rPr>
        <w:t>Avis de suspension</w:t>
      </w:r>
    </w:p>
    <w:p w14:paraId="4DDA45EA" w14:textId="77777777" w:rsidR="00FC15A4" w:rsidRDefault="00000000">
      <w:pPr>
        <w:pStyle w:val="BodyText"/>
        <w:ind w:left="254" w:right="242"/>
      </w:pPr>
      <w:r>
        <w:rPr>
          <w:lang w:bidi="fr-CA"/>
        </w:rPr>
        <w:t>L’avis de suspension de la participation aux activités de l’ICISP ou de l’adhésion doit préciser la durée de la suspension et toute autre condition que le membre doit remplir pour que le conseil d’administration envisage de le réintégrer. Les conditions peuvent comprendre, sans pour autant s’y limiter :</w:t>
      </w:r>
    </w:p>
    <w:p w14:paraId="49B8F660" w14:textId="48873FB1" w:rsidR="00FC15A4" w:rsidRDefault="00000000">
      <w:pPr>
        <w:pStyle w:val="ListParagraph"/>
        <w:numPr>
          <w:ilvl w:val="2"/>
          <w:numId w:val="2"/>
        </w:numPr>
        <w:tabs>
          <w:tab w:val="left" w:pos="974"/>
          <w:tab w:val="left" w:pos="975"/>
        </w:tabs>
        <w:spacing w:before="3" w:line="268" w:lineRule="exact"/>
        <w:ind w:hanging="361"/>
      </w:pPr>
      <w:r>
        <w:rPr>
          <w:lang w:bidi="fr-CA"/>
        </w:rPr>
        <w:t>une suspension de participation aux activités de l’ICISP pour une durée d’au moins six (6) mois</w:t>
      </w:r>
      <w:r w:rsidR="00C75F0F">
        <w:rPr>
          <w:lang w:bidi="fr-CA"/>
        </w:rPr>
        <w:t> </w:t>
      </w:r>
      <w:r>
        <w:rPr>
          <w:lang w:bidi="fr-CA"/>
        </w:rPr>
        <w:t>;</w:t>
      </w:r>
    </w:p>
    <w:p w14:paraId="57D0AEF2" w14:textId="07A338BB" w:rsidR="00FC15A4" w:rsidRDefault="00000000">
      <w:pPr>
        <w:pStyle w:val="ListParagraph"/>
        <w:numPr>
          <w:ilvl w:val="2"/>
          <w:numId w:val="2"/>
        </w:numPr>
        <w:tabs>
          <w:tab w:val="left" w:pos="974"/>
          <w:tab w:val="left" w:pos="975"/>
        </w:tabs>
        <w:spacing w:before="0" w:line="268" w:lineRule="exact"/>
        <w:ind w:hanging="361"/>
      </w:pPr>
      <w:r>
        <w:rPr>
          <w:lang w:bidi="fr-CA"/>
        </w:rPr>
        <w:t>une suspension de l’adhésion à l’ICISP pour une durée d’au moi</w:t>
      </w:r>
      <w:r w:rsidR="00C75F0F">
        <w:rPr>
          <w:lang w:bidi="fr-CA"/>
        </w:rPr>
        <w:t>n</w:t>
      </w:r>
      <w:r>
        <w:rPr>
          <w:lang w:bidi="fr-CA"/>
        </w:rPr>
        <w:t>s six (6) mois</w:t>
      </w:r>
      <w:r w:rsidR="00C75F0F">
        <w:rPr>
          <w:lang w:bidi="fr-CA"/>
        </w:rPr>
        <w:t> </w:t>
      </w:r>
      <w:r>
        <w:rPr>
          <w:lang w:bidi="fr-CA"/>
        </w:rPr>
        <w:t>;</w:t>
      </w:r>
    </w:p>
    <w:p w14:paraId="7BD44D3B" w14:textId="77777777" w:rsidR="00FC15A4" w:rsidRDefault="00000000">
      <w:pPr>
        <w:pStyle w:val="ListParagraph"/>
        <w:numPr>
          <w:ilvl w:val="2"/>
          <w:numId w:val="2"/>
        </w:numPr>
        <w:tabs>
          <w:tab w:val="left" w:pos="974"/>
          <w:tab w:val="left" w:pos="975"/>
        </w:tabs>
        <w:spacing w:before="2" w:line="237" w:lineRule="auto"/>
        <w:ind w:right="752"/>
      </w:pPr>
      <w:r>
        <w:rPr>
          <w:lang w:bidi="fr-CA"/>
        </w:rPr>
        <w:t>la réussite d’un cours d’éthique, reconnu par le conseil d’administration, dans un délai déterminé, et la remise au conseil d’administration d’une preuve écrite de la réussite de ce cours.</w:t>
      </w:r>
    </w:p>
    <w:p w14:paraId="1AA3D00A" w14:textId="77777777" w:rsidR="00FC15A4" w:rsidRDefault="00FC15A4">
      <w:pPr>
        <w:pStyle w:val="BodyText"/>
        <w:rPr>
          <w:sz w:val="20"/>
        </w:rPr>
      </w:pPr>
    </w:p>
    <w:p w14:paraId="1970D000" w14:textId="77777777" w:rsidR="00FC15A4" w:rsidRDefault="00FC15A4">
      <w:pPr>
        <w:pStyle w:val="BodyText"/>
        <w:rPr>
          <w:sz w:val="20"/>
        </w:rPr>
      </w:pPr>
    </w:p>
    <w:p w14:paraId="17E8449A" w14:textId="77777777" w:rsidR="00FC15A4" w:rsidRDefault="00FC15A4">
      <w:pPr>
        <w:pStyle w:val="BodyText"/>
        <w:spacing w:before="5" w:after="1"/>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6"/>
      </w:tblGrid>
      <w:tr w:rsidR="00FC15A4" w14:paraId="49749006" w14:textId="77777777">
        <w:trPr>
          <w:trHeight w:val="757"/>
        </w:trPr>
        <w:tc>
          <w:tcPr>
            <w:tcW w:w="9756" w:type="dxa"/>
            <w:shd w:val="clear" w:color="auto" w:fill="BEBEBE"/>
          </w:tcPr>
          <w:p w14:paraId="449C8F0D" w14:textId="77777777" w:rsidR="00FC15A4" w:rsidRDefault="00FC15A4">
            <w:pPr>
              <w:pStyle w:val="TableParagraph"/>
              <w:spacing w:before="10"/>
              <w:ind w:left="0"/>
              <w:rPr>
                <w:sz w:val="21"/>
              </w:rPr>
            </w:pPr>
          </w:p>
          <w:p w14:paraId="4528CE06" w14:textId="77777777" w:rsidR="00FC15A4" w:rsidRDefault="00000000">
            <w:pPr>
              <w:pStyle w:val="TableParagraph"/>
              <w:ind w:left="108"/>
              <w:rPr>
                <w:rFonts w:ascii="Arial"/>
                <w:i/>
              </w:rPr>
            </w:pPr>
            <w:r>
              <w:rPr>
                <w:i/>
                <w:lang w:bidi="fr-CA"/>
              </w:rPr>
              <w:t>Transparence</w:t>
            </w:r>
          </w:p>
        </w:tc>
      </w:tr>
      <w:tr w:rsidR="00FC15A4" w14:paraId="34EE017A" w14:textId="77777777">
        <w:trPr>
          <w:trHeight w:val="1012"/>
        </w:trPr>
        <w:tc>
          <w:tcPr>
            <w:tcW w:w="9756" w:type="dxa"/>
          </w:tcPr>
          <w:p w14:paraId="17C619D6" w14:textId="77777777" w:rsidR="00FC15A4" w:rsidRDefault="00FC15A4">
            <w:pPr>
              <w:pStyle w:val="TableParagraph"/>
              <w:spacing w:before="1"/>
              <w:ind w:left="0"/>
            </w:pPr>
          </w:p>
          <w:p w14:paraId="25D9F08C" w14:textId="77777777" w:rsidR="00FC15A4" w:rsidRDefault="00000000">
            <w:pPr>
              <w:pStyle w:val="TableParagraph"/>
              <w:ind w:left="108" w:right="385"/>
            </w:pPr>
            <w:r>
              <w:rPr>
                <w:lang w:bidi="fr-CA"/>
              </w:rPr>
              <w:t>Le Conseil exécutif national est responsable de veiller à ce que les plaintes pour violation du Code de déontologie soient examinées dans le respect de la présente politique.</w:t>
            </w:r>
          </w:p>
        </w:tc>
      </w:tr>
    </w:tbl>
    <w:p w14:paraId="29BB7E43" w14:textId="77777777" w:rsidR="00FC15A4" w:rsidRDefault="0084098A">
      <w:pPr>
        <w:pStyle w:val="BodyText"/>
        <w:spacing w:before="11"/>
        <w:rPr>
          <w:sz w:val="29"/>
        </w:rPr>
      </w:pPr>
      <w:r>
        <w:rPr>
          <w:lang w:bidi="fr-CA"/>
        </w:rPr>
        <w:pict w14:anchorId="6B138B3B">
          <v:group id="_x0000_s2054" alt="" style="position:absolute;margin-left:59.05pt;margin-top:19.2pt;width:488.3pt;height:39.5pt;z-index:-15727616;mso-wrap-distance-left:0;mso-wrap-distance-right:0;mso-position-horizontal-relative:page;mso-position-vertical-relative:text" coordorigin="1181,384" coordsize="9766,790">
            <v:rect id="_x0000_s2055" alt="" style="position:absolute;left:1190;top:393;width:9744;height:507" fillcolor="#bebebe" stroked="f"/>
            <v:shape id="_x0000_s2056" alt="" style="position:absolute;left:1180;top:384;width:9766;height:790" coordorigin="1181,384" coordsize="9766,790" o:spt="100" adj="0,,0" path="m1190,1164r-9,l1181,1174r9,l1190,1164xm1190,900r-9,l1181,910r,254l1190,1164r,-254l1190,900xm1190,384r-9,l1181,394r,506l1190,900r,-506l1190,384xm10946,1164r-10,l1190,1164r,10l10936,1174r10,l10946,1164xm10946,900r-10,l1190,900r,10l10936,910r,254l10946,1164r,-254l10946,900xm10946,384r-10,l10936,394r,506l10946,900r,-506l10946,384xe" fillcolor="black" stroked="f">
              <v:stroke joinstyle="round"/>
              <v:formulas/>
              <v:path arrowok="t" o:connecttype="segments"/>
            </v:shape>
            <v:shape id="_x0000_s2057" type="#_x0000_t202" alt="" style="position:absolute;left:1185;top:388;width:9756;height:516;mso-wrap-style:square;v-text-anchor:top" fillcolor="#bebebe" strokeweight=".16936mm">
              <v:textbox inset="0,0,0,0">
                <w:txbxContent>
                  <w:p w14:paraId="1F17423E" w14:textId="77777777" w:rsidR="00FC15A4" w:rsidRDefault="00000000">
                    <w:pPr>
                      <w:ind w:left="103"/>
                      <w:rPr>
                        <w:rFonts w:ascii="Arial"/>
                        <w:i/>
                      </w:rPr>
                    </w:pPr>
                    <w:r>
                      <w:rPr>
                        <w:i/>
                        <w:lang w:bidi="fr-CA"/>
                      </w:rPr>
                      <w:t>Pièces justificatives</w:t>
                    </w:r>
                  </w:p>
                </w:txbxContent>
              </v:textbox>
            </v:shape>
            <w10:wrap type="topAndBottom" anchorx="page"/>
          </v:group>
        </w:pict>
      </w:r>
    </w:p>
    <w:p w14:paraId="18E79B1F" w14:textId="77777777" w:rsidR="00FC15A4" w:rsidRDefault="00FC15A4">
      <w:pPr>
        <w:pStyle w:val="BodyText"/>
        <w:rPr>
          <w:sz w:val="20"/>
        </w:rPr>
      </w:pPr>
    </w:p>
    <w:p w14:paraId="0836B262" w14:textId="77777777" w:rsidR="00FC15A4" w:rsidRDefault="00FC15A4">
      <w:pPr>
        <w:pStyle w:val="BodyText"/>
        <w:spacing w:before="10"/>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6"/>
      </w:tblGrid>
      <w:tr w:rsidR="00FC15A4" w14:paraId="2365A716" w14:textId="77777777">
        <w:trPr>
          <w:trHeight w:val="758"/>
        </w:trPr>
        <w:tc>
          <w:tcPr>
            <w:tcW w:w="9756" w:type="dxa"/>
            <w:shd w:val="clear" w:color="auto" w:fill="BEBEBE"/>
          </w:tcPr>
          <w:p w14:paraId="3565FCF8" w14:textId="77777777" w:rsidR="00FC15A4" w:rsidRDefault="00FC15A4">
            <w:pPr>
              <w:pStyle w:val="TableParagraph"/>
              <w:spacing w:before="10"/>
              <w:ind w:left="0"/>
              <w:rPr>
                <w:sz w:val="21"/>
              </w:rPr>
            </w:pPr>
          </w:p>
          <w:p w14:paraId="24A685BF" w14:textId="77777777" w:rsidR="00FC15A4" w:rsidRDefault="00000000">
            <w:pPr>
              <w:pStyle w:val="TableParagraph"/>
              <w:ind w:left="108"/>
              <w:rPr>
                <w:rFonts w:ascii="Arial"/>
                <w:i/>
              </w:rPr>
            </w:pPr>
            <w:r>
              <w:rPr>
                <w:i/>
                <w:lang w:bidi="fr-CA"/>
              </w:rPr>
              <w:t>Pièces jointes/annexes</w:t>
            </w:r>
          </w:p>
        </w:tc>
      </w:tr>
      <w:tr w:rsidR="00FC15A4" w14:paraId="435327B1" w14:textId="77777777">
        <w:trPr>
          <w:trHeight w:val="374"/>
        </w:trPr>
        <w:tc>
          <w:tcPr>
            <w:tcW w:w="9756" w:type="dxa"/>
          </w:tcPr>
          <w:p w14:paraId="0DC7C166" w14:textId="77777777" w:rsidR="00FC15A4" w:rsidRDefault="00000000">
            <w:pPr>
              <w:pStyle w:val="TableParagraph"/>
              <w:ind w:left="465"/>
            </w:pPr>
            <w:r>
              <w:rPr>
                <w:lang w:bidi="fr-CA"/>
              </w:rPr>
              <w:t>1. Code de déontologie (juin 2020)</w:t>
            </w:r>
          </w:p>
        </w:tc>
      </w:tr>
    </w:tbl>
    <w:p w14:paraId="68268FA2" w14:textId="77777777" w:rsidR="00FC15A4" w:rsidRDefault="0084098A">
      <w:pPr>
        <w:pStyle w:val="BodyText"/>
        <w:spacing w:before="11"/>
        <w:rPr>
          <w:sz w:val="29"/>
        </w:rPr>
      </w:pPr>
      <w:r>
        <w:rPr>
          <w:lang w:bidi="fr-CA"/>
        </w:rPr>
        <w:pict w14:anchorId="62633AA6">
          <v:group id="_x0000_s2050" alt="" style="position:absolute;margin-left:59.05pt;margin-top:19.2pt;width:488.3pt;height:54.15pt;z-index:-15727104;mso-wrap-distance-left:0;mso-wrap-distance-right:0;mso-position-horizontal-relative:page;mso-position-vertical-relative:text" coordorigin="1181,384" coordsize="9766,1083">
            <v:rect id="_x0000_s2051" alt="" style="position:absolute;left:1190;top:393;width:9744;height:759" fillcolor="#bebebe" stroked="f"/>
            <v:shape id="_x0000_s2052" alt="" style="position:absolute;left:1180;top:383;width:9766;height:1083" coordorigin="1181,384" coordsize="9766,1083" o:spt="100" adj="0,,0" path="m1190,1456r-9,l1181,1466r9,l1190,1456xm1190,384r-9,l1181,393r,759l1181,1161r,295l1190,1456r,-295l1190,1152r,-759l1190,384xm10946,1456r-10,l1190,1456r,10l10936,1466r10,l10946,1456xm10946,384r-10,l10936,393r,759l1190,1152r,9l10936,1161r,295l10946,1456r,-295l10946,1152r,-759l10946,384xe" fillcolor="black" stroked="f">
              <v:stroke joinstyle="round"/>
              <v:formulas/>
              <v:path arrowok="t" o:connecttype="segments"/>
            </v:shape>
            <v:shape id="_x0000_s2053" type="#_x0000_t202" alt="" style="position:absolute;left:1185;top:388;width:9756;height:768;mso-wrap-style:square;v-text-anchor:top" fillcolor="#bebebe" strokeweight=".16936mm">
              <v:textbox inset="0,0,0,0">
                <w:txbxContent>
                  <w:p w14:paraId="0C69BF42" w14:textId="77777777" w:rsidR="00FC15A4" w:rsidRDefault="00FC15A4">
                    <w:pPr>
                      <w:spacing w:before="10"/>
                      <w:rPr>
                        <w:sz w:val="21"/>
                      </w:rPr>
                    </w:pPr>
                  </w:p>
                  <w:p w14:paraId="4FDAF103" w14:textId="77777777" w:rsidR="00FC15A4" w:rsidRDefault="00000000">
                    <w:pPr>
                      <w:ind w:left="103"/>
                      <w:rPr>
                        <w:rFonts w:ascii="Arial"/>
                        <w:i/>
                      </w:rPr>
                    </w:pPr>
                    <w:r>
                      <w:rPr>
                        <w:i/>
                        <w:lang w:bidi="fr-CA"/>
                      </w:rPr>
                      <w:t>Historique des modifications apportées au document</w:t>
                    </w:r>
                  </w:p>
                </w:txbxContent>
              </v:textbox>
            </v:shape>
            <w10:wrap type="topAndBottom" anchorx="page"/>
          </v:group>
        </w:pict>
      </w:r>
    </w:p>
    <w:p w14:paraId="2A612DFE" w14:textId="77777777" w:rsidR="00FC15A4" w:rsidRDefault="00FC15A4">
      <w:pPr>
        <w:rPr>
          <w:sz w:val="29"/>
        </w:rPr>
        <w:sectPr w:rsidR="00FC15A4" w:rsidSect="0084098A">
          <w:pgSz w:w="12240" w:h="15840"/>
          <w:pgMar w:top="1200" w:right="1100" w:bottom="1200" w:left="1080" w:header="0" w:footer="1004" w:gutter="0"/>
          <w:cols w:space="720"/>
        </w:sectPr>
      </w:pPr>
    </w:p>
    <w:p w14:paraId="6D2E3194" w14:textId="77777777" w:rsidR="00FC15A4" w:rsidRDefault="00000000">
      <w:pPr>
        <w:ind w:left="1106" w:right="1088"/>
        <w:jc w:val="center"/>
        <w:rPr>
          <w:rFonts w:ascii="Calibri"/>
          <w:sz w:val="36"/>
        </w:rPr>
      </w:pPr>
      <w:r>
        <w:rPr>
          <w:sz w:val="36"/>
          <w:lang w:bidi="fr-CA"/>
        </w:rPr>
        <w:lastRenderedPageBreak/>
        <w:t>ANNEXE 1</w:t>
      </w:r>
    </w:p>
    <w:p w14:paraId="2030DF79" w14:textId="77777777" w:rsidR="00FC15A4" w:rsidRDefault="00FC15A4">
      <w:pPr>
        <w:pStyle w:val="BodyText"/>
        <w:rPr>
          <w:rFonts w:ascii="Calibri"/>
          <w:sz w:val="20"/>
        </w:rPr>
      </w:pPr>
    </w:p>
    <w:p w14:paraId="0DF9DD3B" w14:textId="77777777" w:rsidR="00FC15A4" w:rsidRDefault="00FC15A4">
      <w:pPr>
        <w:pStyle w:val="BodyText"/>
        <w:spacing w:before="4"/>
        <w:rPr>
          <w:rFonts w:ascii="Calibri"/>
          <w:sz w:val="26"/>
        </w:rPr>
      </w:pPr>
    </w:p>
    <w:tbl>
      <w:tblPr>
        <w:tblW w:w="0" w:type="auto"/>
        <w:tblInd w:w="146" w:type="dxa"/>
        <w:tblLayout w:type="fixed"/>
        <w:tblCellMar>
          <w:left w:w="0" w:type="dxa"/>
          <w:right w:w="0" w:type="dxa"/>
        </w:tblCellMar>
        <w:tblLook w:val="01E0" w:firstRow="1" w:lastRow="1" w:firstColumn="1" w:lastColumn="1" w:noHBand="0" w:noVBand="0"/>
      </w:tblPr>
      <w:tblGrid>
        <w:gridCol w:w="3122"/>
        <w:gridCol w:w="6660"/>
      </w:tblGrid>
      <w:tr w:rsidR="00FC15A4" w14:paraId="33EE64F9" w14:textId="77777777">
        <w:trPr>
          <w:trHeight w:val="1317"/>
        </w:trPr>
        <w:tc>
          <w:tcPr>
            <w:tcW w:w="3122" w:type="dxa"/>
            <w:tcBorders>
              <w:bottom w:val="single" w:sz="12" w:space="0" w:color="0066CC"/>
            </w:tcBorders>
          </w:tcPr>
          <w:p w14:paraId="45A8E3B8" w14:textId="77777777" w:rsidR="00FC15A4" w:rsidRDefault="00FC15A4">
            <w:pPr>
              <w:pStyle w:val="TableParagraph"/>
              <w:spacing w:before="11"/>
              <w:ind w:left="0"/>
              <w:rPr>
                <w:rFonts w:ascii="Calibri"/>
              </w:rPr>
            </w:pPr>
          </w:p>
          <w:p w14:paraId="7B34E806" w14:textId="77777777" w:rsidR="00FC15A4" w:rsidRDefault="00000000">
            <w:pPr>
              <w:pStyle w:val="TableParagraph"/>
              <w:ind w:left="69"/>
              <w:rPr>
                <w:rFonts w:ascii="Calibri"/>
                <w:sz w:val="20"/>
              </w:rPr>
            </w:pPr>
            <w:r>
              <w:rPr>
                <w:noProof/>
                <w:sz w:val="20"/>
                <w:lang w:bidi="fr-CA"/>
              </w:rPr>
              <w:drawing>
                <wp:inline distT="0" distB="0" distL="0" distR="0" wp14:anchorId="5E955A21" wp14:editId="22AF97AE">
                  <wp:extent cx="1277282" cy="445770"/>
                  <wp:effectExtent l="0" t="0" r="0" b="0"/>
                  <wp:docPr id="1" name="image3.png" descr="CIPHI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1277282" cy="445770"/>
                          </a:xfrm>
                          <a:prstGeom prst="rect">
                            <a:avLst/>
                          </a:prstGeom>
                        </pic:spPr>
                      </pic:pic>
                    </a:graphicData>
                  </a:graphic>
                </wp:inline>
              </w:drawing>
            </w:r>
          </w:p>
        </w:tc>
        <w:tc>
          <w:tcPr>
            <w:tcW w:w="6660" w:type="dxa"/>
            <w:tcBorders>
              <w:bottom w:val="single" w:sz="12" w:space="0" w:color="0066CC"/>
            </w:tcBorders>
          </w:tcPr>
          <w:p w14:paraId="37B63ABF" w14:textId="77777777" w:rsidR="00FC15A4" w:rsidRDefault="00FC15A4">
            <w:pPr>
              <w:pStyle w:val="TableParagraph"/>
              <w:ind w:left="0"/>
              <w:rPr>
                <w:rFonts w:ascii="Calibri"/>
                <w:sz w:val="24"/>
              </w:rPr>
            </w:pPr>
          </w:p>
          <w:p w14:paraId="64F881EF" w14:textId="77777777" w:rsidR="00FC15A4" w:rsidRDefault="00FC15A4">
            <w:pPr>
              <w:pStyle w:val="TableParagraph"/>
              <w:ind w:left="0"/>
              <w:rPr>
                <w:rFonts w:ascii="Calibri"/>
                <w:sz w:val="24"/>
              </w:rPr>
            </w:pPr>
          </w:p>
          <w:p w14:paraId="2C9D91C8" w14:textId="77777777" w:rsidR="00FC15A4" w:rsidRDefault="00000000">
            <w:pPr>
              <w:pStyle w:val="TableParagraph"/>
              <w:spacing w:before="168"/>
              <w:ind w:left="992" w:right="37" w:firstLine="806"/>
              <w:rPr>
                <w:rFonts w:ascii="Arial" w:hAnsi="Arial"/>
                <w:b/>
              </w:rPr>
            </w:pPr>
            <w:r>
              <w:rPr>
                <w:b/>
                <w:color w:val="0066CC"/>
                <w:lang w:bidi="fr-CA"/>
              </w:rPr>
              <w:t xml:space="preserve">Canadian Institute of Public </w:t>
            </w:r>
            <w:proofErr w:type="spellStart"/>
            <w:r>
              <w:rPr>
                <w:b/>
                <w:color w:val="0066CC"/>
                <w:lang w:bidi="fr-CA"/>
              </w:rPr>
              <w:t>Health</w:t>
            </w:r>
            <w:proofErr w:type="spellEnd"/>
            <w:r>
              <w:rPr>
                <w:b/>
                <w:color w:val="0066CC"/>
                <w:lang w:bidi="fr-CA"/>
              </w:rPr>
              <w:t xml:space="preserve"> </w:t>
            </w:r>
            <w:proofErr w:type="spellStart"/>
            <w:r>
              <w:rPr>
                <w:b/>
                <w:color w:val="0066CC"/>
                <w:lang w:bidi="fr-CA"/>
              </w:rPr>
              <w:t>Inspectors</w:t>
            </w:r>
            <w:proofErr w:type="spellEnd"/>
            <w:r>
              <w:rPr>
                <w:b/>
                <w:color w:val="0066CC"/>
                <w:lang w:bidi="fr-CA"/>
              </w:rPr>
              <w:t xml:space="preserve"> L’Institut canadien des inspecteurs en santé publique</w:t>
            </w:r>
          </w:p>
        </w:tc>
      </w:tr>
      <w:tr w:rsidR="00FC15A4" w14:paraId="2797094E" w14:textId="77777777">
        <w:trPr>
          <w:trHeight w:val="265"/>
        </w:trPr>
        <w:tc>
          <w:tcPr>
            <w:tcW w:w="3122" w:type="dxa"/>
            <w:tcBorders>
              <w:top w:val="single" w:sz="12" w:space="0" w:color="0066CC"/>
            </w:tcBorders>
          </w:tcPr>
          <w:p w14:paraId="5BA46A97" w14:textId="77777777" w:rsidR="00FC15A4" w:rsidRDefault="00FC15A4">
            <w:pPr>
              <w:pStyle w:val="TableParagraph"/>
              <w:ind w:left="0"/>
              <w:rPr>
                <w:rFonts w:ascii="Times New Roman"/>
                <w:sz w:val="18"/>
              </w:rPr>
            </w:pPr>
          </w:p>
        </w:tc>
        <w:tc>
          <w:tcPr>
            <w:tcW w:w="6660" w:type="dxa"/>
            <w:tcBorders>
              <w:top w:val="single" w:sz="12" w:space="0" w:color="0066CC"/>
            </w:tcBorders>
          </w:tcPr>
          <w:p w14:paraId="4D99FD4B" w14:textId="77777777" w:rsidR="00FC15A4" w:rsidRDefault="00000000">
            <w:pPr>
              <w:pStyle w:val="TableParagraph"/>
              <w:spacing w:before="58" w:line="187" w:lineRule="exact"/>
              <w:ind w:left="0" w:right="52"/>
              <w:jc w:val="right"/>
              <w:rPr>
                <w:sz w:val="18"/>
              </w:rPr>
            </w:pPr>
            <w:r>
              <w:rPr>
                <w:color w:val="0066CC"/>
                <w:sz w:val="18"/>
                <w:lang w:bidi="fr-CA"/>
              </w:rPr>
              <w:t>Révisé en juin 2020</w:t>
            </w:r>
          </w:p>
        </w:tc>
      </w:tr>
    </w:tbl>
    <w:p w14:paraId="684CADC1" w14:textId="77777777" w:rsidR="00FC15A4" w:rsidRDefault="00FC15A4">
      <w:pPr>
        <w:pStyle w:val="BodyText"/>
        <w:spacing w:before="7"/>
        <w:rPr>
          <w:rFonts w:ascii="Calibri"/>
          <w:sz w:val="48"/>
        </w:rPr>
      </w:pPr>
    </w:p>
    <w:p w14:paraId="60B2BCB2" w14:textId="77777777" w:rsidR="00FC15A4" w:rsidRDefault="00000000">
      <w:pPr>
        <w:spacing w:before="1" w:line="374" w:lineRule="auto"/>
        <w:ind w:left="1106" w:right="1089"/>
        <w:jc w:val="center"/>
        <w:rPr>
          <w:rFonts w:ascii="Arial"/>
          <w:b/>
          <w:sz w:val="36"/>
        </w:rPr>
      </w:pPr>
      <w:r>
        <w:rPr>
          <w:b/>
          <w:color w:val="2E5395"/>
          <w:sz w:val="36"/>
          <w:lang w:bidi="fr-CA"/>
        </w:rPr>
        <w:t>Code de déontologie de l’Institut canadien des inspecteurs en santé publique</w:t>
      </w:r>
    </w:p>
    <w:p w14:paraId="43FDF4F8" w14:textId="77777777" w:rsidR="00FC15A4" w:rsidRDefault="00000000">
      <w:pPr>
        <w:pStyle w:val="Heading1"/>
        <w:spacing w:before="20"/>
      </w:pPr>
      <w:r>
        <w:rPr>
          <w:color w:val="2E5395"/>
          <w:lang w:bidi="fr-CA"/>
        </w:rPr>
        <w:t>Vision de l’ICISP</w:t>
      </w:r>
    </w:p>
    <w:p w14:paraId="00ABB50D" w14:textId="4FD25AB3" w:rsidR="00FC15A4" w:rsidRDefault="00000000">
      <w:pPr>
        <w:spacing w:before="255"/>
        <w:ind w:left="139"/>
        <w:rPr>
          <w:rFonts w:ascii="Arial" w:hAnsi="Arial"/>
          <w:i/>
        </w:rPr>
      </w:pPr>
      <w:r>
        <w:rPr>
          <w:i/>
          <w:lang w:bidi="fr-CA"/>
        </w:rPr>
        <w:t>Développement personnel</w:t>
      </w:r>
      <w:r w:rsidR="00C75F0F">
        <w:rPr>
          <w:i/>
          <w:lang w:bidi="fr-CA"/>
        </w:rPr>
        <w:t>…</w:t>
      </w:r>
      <w:r>
        <w:rPr>
          <w:i/>
          <w:lang w:bidi="fr-CA"/>
        </w:rPr>
        <w:t xml:space="preserve"> réussite professionnelle</w:t>
      </w:r>
    </w:p>
    <w:p w14:paraId="564D56DD" w14:textId="77777777" w:rsidR="00FC15A4" w:rsidRDefault="00FC15A4">
      <w:pPr>
        <w:pStyle w:val="BodyText"/>
        <w:spacing w:before="8"/>
        <w:rPr>
          <w:rFonts w:ascii="Arial"/>
          <w:i/>
          <w:sz w:val="21"/>
        </w:rPr>
      </w:pPr>
    </w:p>
    <w:p w14:paraId="700A3D64" w14:textId="77777777" w:rsidR="00FC15A4" w:rsidRDefault="00000000">
      <w:pPr>
        <w:pStyle w:val="Heading1"/>
      </w:pPr>
      <w:r>
        <w:rPr>
          <w:color w:val="2E5395"/>
          <w:lang w:bidi="fr-CA"/>
        </w:rPr>
        <w:t>Énoncé de mission de L’ICISP</w:t>
      </w:r>
    </w:p>
    <w:p w14:paraId="53E21A37" w14:textId="77777777" w:rsidR="00FC15A4" w:rsidRDefault="00000000">
      <w:pPr>
        <w:spacing w:before="255"/>
        <w:ind w:left="139" w:right="570"/>
        <w:rPr>
          <w:rFonts w:ascii="Arial"/>
          <w:i/>
        </w:rPr>
      </w:pPr>
      <w:r>
        <w:rPr>
          <w:i/>
          <w:lang w:bidi="fr-CA"/>
        </w:rPr>
        <w:t>L’ICISP représente et unit les professionnels de la santé publique environnementale à travers le Canada. Nous faisons progresser la profession et le domaine de la santé publique environnementale par le biais de la certification, de la défense des intérêts, de l’éducation et des compétences professionnelles. Ce faisant, nous protégeons la santé de tous les Canadiens.</w:t>
      </w:r>
    </w:p>
    <w:p w14:paraId="2414979C" w14:textId="77777777" w:rsidR="00FC15A4" w:rsidRDefault="00FC15A4">
      <w:pPr>
        <w:pStyle w:val="BodyText"/>
        <w:rPr>
          <w:rFonts w:ascii="Arial"/>
          <w:i/>
        </w:rPr>
      </w:pPr>
    </w:p>
    <w:p w14:paraId="4508F72A" w14:textId="77777777" w:rsidR="00FC15A4" w:rsidRDefault="00000000">
      <w:pPr>
        <w:pStyle w:val="Heading1"/>
      </w:pPr>
      <w:r>
        <w:rPr>
          <w:color w:val="2E5395"/>
          <w:lang w:bidi="fr-CA"/>
        </w:rPr>
        <w:t>Préambule</w:t>
      </w:r>
    </w:p>
    <w:p w14:paraId="03FEE8A5" w14:textId="77777777" w:rsidR="00FC15A4" w:rsidRDefault="00000000">
      <w:pPr>
        <w:pStyle w:val="BodyText"/>
        <w:spacing w:before="253"/>
        <w:ind w:left="139" w:right="263"/>
      </w:pPr>
      <w:r>
        <w:rPr>
          <w:lang w:bidi="fr-CA"/>
        </w:rPr>
        <w:t>En contrepartie de la confiance que la société leur accorde, tous les membres de l’Institut canadien des inspecteurs en santé publique (ICISP) ont des obligations morales liées à l’exercice de leur profession. Ils ont le devoir de respecter la loi et d’agir pour protéger la santé publique. Les membres sont tenus de respecter le règlement intérieur et les normes de pratique de l’ICISP. Tous les membres doivent se comporter d’une manière digne de la profession de la santé publique environnementale.</w:t>
      </w:r>
    </w:p>
    <w:p w14:paraId="652FA202" w14:textId="77777777" w:rsidR="00FC15A4" w:rsidRDefault="00FC15A4">
      <w:pPr>
        <w:pStyle w:val="BodyText"/>
      </w:pPr>
    </w:p>
    <w:p w14:paraId="6F671D09" w14:textId="77777777" w:rsidR="00FC15A4" w:rsidRDefault="00000000">
      <w:pPr>
        <w:pStyle w:val="Heading1"/>
      </w:pPr>
      <w:r>
        <w:rPr>
          <w:color w:val="2E5395"/>
          <w:lang w:bidi="fr-CA"/>
        </w:rPr>
        <w:t>Principes</w:t>
      </w:r>
    </w:p>
    <w:p w14:paraId="61D1DB34" w14:textId="77777777" w:rsidR="00FC15A4" w:rsidRDefault="00000000">
      <w:pPr>
        <w:pStyle w:val="BodyText"/>
        <w:spacing w:before="253"/>
        <w:ind w:left="139" w:right="170"/>
      </w:pPr>
      <w:r>
        <w:rPr>
          <w:lang w:bidi="fr-CA"/>
        </w:rPr>
        <w:t>Les membres de l’ICISP doivent défendre et respecter ces sept principes fondamentaux de conduite et d’éthique.</w:t>
      </w:r>
    </w:p>
    <w:p w14:paraId="4AD33A53" w14:textId="77777777" w:rsidR="00FC15A4" w:rsidRDefault="00FC15A4">
      <w:pPr>
        <w:pStyle w:val="BodyText"/>
      </w:pPr>
    </w:p>
    <w:p w14:paraId="2471533A" w14:textId="77777777" w:rsidR="00FC15A4" w:rsidRDefault="00000000">
      <w:pPr>
        <w:pStyle w:val="Heading2"/>
        <w:spacing w:before="1"/>
      </w:pPr>
      <w:r>
        <w:rPr>
          <w:lang w:bidi="fr-CA"/>
        </w:rPr>
        <w:t>Principe 1 : Justice</w:t>
      </w:r>
    </w:p>
    <w:p w14:paraId="2A92A014" w14:textId="77777777" w:rsidR="00FC15A4" w:rsidRDefault="00FC15A4">
      <w:pPr>
        <w:pStyle w:val="BodyText"/>
        <w:rPr>
          <w:rFonts w:ascii="Arial"/>
          <w:b/>
        </w:rPr>
      </w:pPr>
    </w:p>
    <w:p w14:paraId="5613E818" w14:textId="18F76602" w:rsidR="00FC15A4" w:rsidRDefault="00000000">
      <w:pPr>
        <w:pStyle w:val="BodyText"/>
        <w:spacing w:before="1"/>
        <w:ind w:left="139" w:right="113"/>
      </w:pPr>
      <w:r>
        <w:rPr>
          <w:lang w:bidi="fr-CA"/>
        </w:rPr>
        <w:t>Les professionnels de la santé publique environnementale (PSPE) font preuve d’un engagement profond envers leur profession et le public. Chaque membre reconnaît que la possession du meilleur état de santé qu’il est capable d’atteindre constitue l’un des droits fondamentaux de tout être humain, quels que soi</w:t>
      </w:r>
      <w:r w:rsidR="00C75F0F">
        <w:rPr>
          <w:lang w:bidi="fr-CA"/>
        </w:rPr>
        <w:t>en</w:t>
      </w:r>
      <w:r>
        <w:rPr>
          <w:lang w:bidi="fr-CA"/>
        </w:rPr>
        <w:t xml:space="preserve">t sa race, sa religion, ses opinions politiques, son genre, son orientation sexuelle, sa condition économique ou sociale. Les PSPE défendent les principes de justice en </w:t>
      </w:r>
      <w:r>
        <w:rPr>
          <w:lang w:bidi="fr-CA"/>
        </w:rPr>
        <w:lastRenderedPageBreak/>
        <w:t>promouvant l’intérêt public dans le respect des droits de l’homme, de l’équité de l’impartialité. La justice se définit comme «</w:t>
      </w:r>
      <w:r w:rsidR="00C75F0F">
        <w:rPr>
          <w:lang w:bidi="fr-CA"/>
        </w:rPr>
        <w:t> </w:t>
      </w:r>
      <w:r>
        <w:rPr>
          <w:lang w:bidi="fr-CA"/>
        </w:rPr>
        <w:t>la qualité d’être juste, équitable et moral</w:t>
      </w:r>
      <w:r w:rsidR="00C75F0F">
        <w:rPr>
          <w:lang w:bidi="fr-CA"/>
        </w:rPr>
        <w:t> </w:t>
      </w:r>
      <w:r>
        <w:rPr>
          <w:lang w:bidi="fr-CA"/>
        </w:rPr>
        <w:t>». Les PSPE doivent toujours tenir compte de la notion de justice dans l’exercice de leurs fonctions. Les PSPE doivent :</w:t>
      </w:r>
    </w:p>
    <w:p w14:paraId="44212CE5" w14:textId="1BC3FFBB" w:rsidR="00FC15A4" w:rsidRDefault="00000000">
      <w:pPr>
        <w:pStyle w:val="ListParagraph"/>
        <w:numPr>
          <w:ilvl w:val="0"/>
          <w:numId w:val="1"/>
        </w:numPr>
        <w:tabs>
          <w:tab w:val="left" w:pos="859"/>
          <w:tab w:val="left" w:pos="860"/>
        </w:tabs>
        <w:spacing w:before="82"/>
        <w:ind w:hanging="361"/>
      </w:pPr>
      <w:r>
        <w:rPr>
          <w:lang w:bidi="fr-CA"/>
        </w:rPr>
        <w:t>exercer les fonctions de la profession de façon morale et avec droiture</w:t>
      </w:r>
      <w:r w:rsidR="00C75F0F">
        <w:rPr>
          <w:lang w:bidi="fr-CA"/>
        </w:rPr>
        <w:t> </w:t>
      </w:r>
      <w:r>
        <w:rPr>
          <w:lang w:bidi="fr-CA"/>
        </w:rPr>
        <w:t>;</w:t>
      </w:r>
    </w:p>
    <w:p w14:paraId="47C41319" w14:textId="49365956" w:rsidR="00FC15A4" w:rsidRDefault="00000000">
      <w:pPr>
        <w:pStyle w:val="ListParagraph"/>
        <w:numPr>
          <w:ilvl w:val="0"/>
          <w:numId w:val="1"/>
        </w:numPr>
        <w:tabs>
          <w:tab w:val="left" w:pos="859"/>
          <w:tab w:val="left" w:pos="860"/>
        </w:tabs>
        <w:spacing w:before="81"/>
        <w:ind w:hanging="361"/>
      </w:pPr>
      <w:r>
        <w:rPr>
          <w:lang w:bidi="fr-CA"/>
        </w:rPr>
        <w:t>s’efforcer de toujours se conduire de façon honorable</w:t>
      </w:r>
      <w:r w:rsidR="00C75F0F">
        <w:rPr>
          <w:lang w:bidi="fr-CA"/>
        </w:rPr>
        <w:t> </w:t>
      </w:r>
      <w:r>
        <w:rPr>
          <w:lang w:bidi="fr-CA"/>
        </w:rPr>
        <w:t>;</w:t>
      </w:r>
    </w:p>
    <w:p w14:paraId="481D91FB" w14:textId="450E1F1E" w:rsidR="00FC15A4" w:rsidRDefault="00000000">
      <w:pPr>
        <w:pStyle w:val="ListParagraph"/>
        <w:numPr>
          <w:ilvl w:val="0"/>
          <w:numId w:val="1"/>
        </w:numPr>
        <w:tabs>
          <w:tab w:val="left" w:pos="859"/>
          <w:tab w:val="left" w:pos="860"/>
        </w:tabs>
        <w:spacing w:before="78"/>
        <w:ind w:hanging="361"/>
      </w:pPr>
      <w:r>
        <w:rPr>
          <w:lang w:bidi="fr-CA"/>
        </w:rPr>
        <w:t>détecter tout conflit d’intérêts et prendre des mesures l’atténuer</w:t>
      </w:r>
      <w:r w:rsidR="00C75F0F">
        <w:rPr>
          <w:lang w:bidi="fr-CA"/>
        </w:rPr>
        <w:t> </w:t>
      </w:r>
      <w:r>
        <w:rPr>
          <w:lang w:bidi="fr-CA"/>
        </w:rPr>
        <w:t>;</w:t>
      </w:r>
    </w:p>
    <w:p w14:paraId="3176133D" w14:textId="49CCAACC" w:rsidR="00FC15A4" w:rsidRDefault="00000000">
      <w:pPr>
        <w:pStyle w:val="ListParagraph"/>
        <w:numPr>
          <w:ilvl w:val="0"/>
          <w:numId w:val="1"/>
        </w:numPr>
        <w:tabs>
          <w:tab w:val="left" w:pos="859"/>
          <w:tab w:val="left" w:pos="860"/>
        </w:tabs>
        <w:spacing w:before="79"/>
        <w:ind w:right="650"/>
      </w:pPr>
      <w:r>
        <w:rPr>
          <w:lang w:bidi="fr-CA"/>
        </w:rPr>
        <w:t>s’abstenir de toute activité criminelle dans l’exercice de ses fonctions, y compris l’abus de substances ou l’inconduite sexuelle</w:t>
      </w:r>
      <w:r w:rsidR="00C75F0F">
        <w:rPr>
          <w:lang w:bidi="fr-CA"/>
        </w:rPr>
        <w:t> </w:t>
      </w:r>
      <w:r>
        <w:rPr>
          <w:lang w:bidi="fr-CA"/>
        </w:rPr>
        <w:t>;</w:t>
      </w:r>
    </w:p>
    <w:p w14:paraId="19CCE8D3" w14:textId="4BC13956" w:rsidR="00FC15A4" w:rsidRDefault="00000000">
      <w:pPr>
        <w:pStyle w:val="ListParagraph"/>
        <w:numPr>
          <w:ilvl w:val="0"/>
          <w:numId w:val="1"/>
        </w:numPr>
        <w:tabs>
          <w:tab w:val="left" w:pos="859"/>
          <w:tab w:val="left" w:pos="860"/>
        </w:tabs>
        <w:spacing w:before="82"/>
        <w:ind w:hanging="361"/>
      </w:pPr>
      <w:r>
        <w:rPr>
          <w:lang w:bidi="fr-CA"/>
        </w:rPr>
        <w:t>ne pas utiliser l’influence de leur position à des fins d’enrichissement personnel ou pour nuire à autrui</w:t>
      </w:r>
      <w:r w:rsidR="00C75F0F">
        <w:rPr>
          <w:lang w:bidi="fr-CA"/>
        </w:rPr>
        <w:t> </w:t>
      </w:r>
      <w:r>
        <w:rPr>
          <w:lang w:bidi="fr-CA"/>
        </w:rPr>
        <w:t>;</w:t>
      </w:r>
    </w:p>
    <w:p w14:paraId="650C9C13" w14:textId="4EC1814B" w:rsidR="00FC15A4" w:rsidRDefault="00000000">
      <w:pPr>
        <w:pStyle w:val="ListParagraph"/>
        <w:numPr>
          <w:ilvl w:val="0"/>
          <w:numId w:val="1"/>
        </w:numPr>
        <w:tabs>
          <w:tab w:val="left" w:pos="859"/>
          <w:tab w:val="left" w:pos="860"/>
        </w:tabs>
        <w:spacing w:before="80"/>
        <w:ind w:hanging="361"/>
      </w:pPr>
      <w:r>
        <w:rPr>
          <w:lang w:bidi="fr-CA"/>
        </w:rPr>
        <w:t>s’abstenir d’accepter sciemment de leurs clients des cadeaux ou toute forme de rémunération</w:t>
      </w:r>
      <w:r w:rsidR="00C75F0F">
        <w:rPr>
          <w:lang w:bidi="fr-CA"/>
        </w:rPr>
        <w:t> </w:t>
      </w:r>
      <w:r>
        <w:rPr>
          <w:lang w:bidi="fr-CA"/>
        </w:rPr>
        <w:t>;</w:t>
      </w:r>
    </w:p>
    <w:p w14:paraId="2FCC724D" w14:textId="7089E70C" w:rsidR="00FC15A4" w:rsidRDefault="00000000">
      <w:pPr>
        <w:pStyle w:val="ListParagraph"/>
        <w:numPr>
          <w:ilvl w:val="0"/>
          <w:numId w:val="1"/>
        </w:numPr>
        <w:tabs>
          <w:tab w:val="left" w:pos="859"/>
          <w:tab w:val="left" w:pos="860"/>
        </w:tabs>
        <w:spacing w:before="81"/>
        <w:ind w:hanging="361"/>
      </w:pPr>
      <w:r>
        <w:rPr>
          <w:lang w:bidi="fr-CA"/>
        </w:rPr>
        <w:t>veiller à ce que tous les dossiers soient exacts et ne pas falsifier de documents</w:t>
      </w:r>
      <w:r w:rsidR="00C75F0F">
        <w:rPr>
          <w:lang w:bidi="fr-CA"/>
        </w:rPr>
        <w:t> </w:t>
      </w:r>
      <w:r>
        <w:rPr>
          <w:lang w:bidi="fr-CA"/>
        </w:rPr>
        <w:t>;</w:t>
      </w:r>
    </w:p>
    <w:p w14:paraId="5149AEF1" w14:textId="7571982A" w:rsidR="00FC15A4" w:rsidRDefault="00000000">
      <w:pPr>
        <w:pStyle w:val="ListParagraph"/>
        <w:numPr>
          <w:ilvl w:val="0"/>
          <w:numId w:val="1"/>
        </w:numPr>
        <w:tabs>
          <w:tab w:val="left" w:pos="859"/>
          <w:tab w:val="left" w:pos="860"/>
        </w:tabs>
        <w:spacing w:before="78"/>
        <w:ind w:hanging="361"/>
      </w:pPr>
      <w:r>
        <w:rPr>
          <w:lang w:bidi="fr-CA"/>
        </w:rPr>
        <w:t>protéger la confidentialité des clients, des collègues, de leur employeur et de l’ICISP</w:t>
      </w:r>
      <w:r w:rsidR="00C75F0F">
        <w:rPr>
          <w:lang w:bidi="fr-CA"/>
        </w:rPr>
        <w:t> </w:t>
      </w:r>
      <w:r>
        <w:rPr>
          <w:lang w:bidi="fr-CA"/>
        </w:rPr>
        <w:t>;</w:t>
      </w:r>
    </w:p>
    <w:p w14:paraId="12C92B85" w14:textId="77777777" w:rsidR="00FC15A4" w:rsidRDefault="00000000">
      <w:pPr>
        <w:pStyle w:val="ListParagraph"/>
        <w:numPr>
          <w:ilvl w:val="0"/>
          <w:numId w:val="1"/>
        </w:numPr>
        <w:tabs>
          <w:tab w:val="left" w:pos="859"/>
          <w:tab w:val="left" w:pos="860"/>
        </w:tabs>
        <w:spacing w:before="81"/>
        <w:ind w:hanging="361"/>
      </w:pPr>
      <w:r>
        <w:rPr>
          <w:lang w:bidi="fr-CA"/>
        </w:rPr>
        <w:t>toujours préserver l’intégrité de la profession et signaler les écarts d’autrui.</w:t>
      </w:r>
    </w:p>
    <w:p w14:paraId="4A974A3C" w14:textId="77777777" w:rsidR="00FC15A4" w:rsidRDefault="00FC15A4">
      <w:pPr>
        <w:pStyle w:val="BodyText"/>
        <w:spacing w:before="9"/>
        <w:rPr>
          <w:sz w:val="30"/>
        </w:rPr>
      </w:pPr>
    </w:p>
    <w:p w14:paraId="2907AD20" w14:textId="77777777" w:rsidR="00FC15A4" w:rsidRDefault="00000000">
      <w:pPr>
        <w:pStyle w:val="Heading2"/>
      </w:pPr>
      <w:r>
        <w:rPr>
          <w:lang w:bidi="fr-CA"/>
        </w:rPr>
        <w:t>Principe 2 : Inclusion</w:t>
      </w:r>
    </w:p>
    <w:p w14:paraId="2689697C" w14:textId="77777777" w:rsidR="00FC15A4" w:rsidRDefault="00FC15A4">
      <w:pPr>
        <w:pStyle w:val="BodyText"/>
        <w:spacing w:before="11"/>
        <w:rPr>
          <w:rFonts w:ascii="Arial"/>
          <w:b/>
          <w:sz w:val="21"/>
        </w:rPr>
      </w:pPr>
    </w:p>
    <w:p w14:paraId="00A0911E" w14:textId="4C212FC5" w:rsidR="00FC15A4" w:rsidRDefault="00000000">
      <w:pPr>
        <w:pStyle w:val="BodyText"/>
        <w:ind w:left="139" w:right="133"/>
      </w:pPr>
      <w:r>
        <w:rPr>
          <w:lang w:bidi="fr-CA"/>
        </w:rPr>
        <w:t>Les membres de l’ICISP sont des individus uniques unis par leur dévouement à la santé publique environnementale. Il est important pour l’ICISP,</w:t>
      </w:r>
      <w:r w:rsidR="00C75F0F">
        <w:rPr>
          <w:lang w:bidi="fr-CA"/>
        </w:rPr>
        <w:t xml:space="preserve"> </w:t>
      </w:r>
      <w:r>
        <w:rPr>
          <w:lang w:bidi="fr-CA"/>
        </w:rPr>
        <w:t>à titre d’organisation professionnelle, de veiller à ce que tous ses membres bénéficient des mêmes chances, quels que soient leur origine ethnique, leur race, leur origine nationale, leur sexe, leur identité de genre, leur âge, leur aptitude, leur religion, leur orientation sexuelle, leur situation matrimoniale et leur statut parental, et qu’ils soient à l’abri de tout harcèlement et de toute discrimination. L’ICISP encourage l’inclusion de tous dans ses activités et ses événements.</w:t>
      </w:r>
    </w:p>
    <w:p w14:paraId="2AEBE1EC" w14:textId="6DD2BEC0" w:rsidR="00FC15A4" w:rsidRDefault="00000000">
      <w:pPr>
        <w:pStyle w:val="BodyText"/>
        <w:spacing w:before="201" w:line="242" w:lineRule="auto"/>
        <w:ind w:left="139" w:right="263"/>
      </w:pPr>
      <w:r>
        <w:rPr>
          <w:lang w:bidi="fr-CA"/>
        </w:rPr>
        <w:t>Le dictionnaire Merriam Webster définit la diversité comme «</w:t>
      </w:r>
      <w:r w:rsidR="00C75F0F">
        <w:rPr>
          <w:lang w:bidi="fr-CA"/>
        </w:rPr>
        <w:t> </w:t>
      </w:r>
      <w:r>
        <w:rPr>
          <w:lang w:bidi="fr-CA"/>
        </w:rPr>
        <w:t>la condition d’avoir ou d’être composé d’éléments différents : l’inclusion de différents types de personnes dans un groupe ou une organisation</w:t>
      </w:r>
      <w:r w:rsidR="00C75F0F">
        <w:rPr>
          <w:lang w:bidi="fr-CA"/>
        </w:rPr>
        <w:t> </w:t>
      </w:r>
      <w:r>
        <w:rPr>
          <w:lang w:bidi="fr-CA"/>
        </w:rPr>
        <w:t>» et définit l’inclusion comme «</w:t>
      </w:r>
      <w:r w:rsidR="00C75F0F">
        <w:rPr>
          <w:lang w:bidi="fr-CA"/>
        </w:rPr>
        <w:t> </w:t>
      </w:r>
      <w:r>
        <w:rPr>
          <w:lang w:bidi="fr-CA"/>
        </w:rPr>
        <w:t>[l]</w:t>
      </w:r>
      <w:r w:rsidR="00C75F0F">
        <w:rPr>
          <w:lang w:bidi="fr-CA"/>
        </w:rPr>
        <w:t xml:space="preserve"> » </w:t>
      </w:r>
      <w:r>
        <w:rPr>
          <w:lang w:bidi="fr-CA"/>
        </w:rPr>
        <w:t>action d’inclure : l’état d’être inclus</w:t>
      </w:r>
      <w:r w:rsidR="00C75F0F">
        <w:rPr>
          <w:lang w:bidi="fr-CA"/>
        </w:rPr>
        <w:t> </w:t>
      </w:r>
      <w:r>
        <w:rPr>
          <w:lang w:bidi="fr-CA"/>
        </w:rPr>
        <w:t>».</w:t>
      </w:r>
    </w:p>
    <w:p w14:paraId="3646F327" w14:textId="77777777" w:rsidR="00FC15A4" w:rsidRDefault="00000000">
      <w:pPr>
        <w:pStyle w:val="BodyText"/>
        <w:spacing w:before="193"/>
        <w:ind w:left="139" w:right="327"/>
        <w:jc w:val="both"/>
      </w:pPr>
      <w:r>
        <w:rPr>
          <w:lang w:bidi="fr-CA"/>
        </w:rPr>
        <w:t>La diversité qui nous caractérise participe pour une large part à la richesse et à la vitalité de notre organisation professionnelle. Nos différences reflètent la diversité de notre clientèle et sont la source du savoir-faire et des talents d’une profession compétente en phase avec les populations qu’elle veille sans relâche à maintenir en bonne santé.</w:t>
      </w:r>
    </w:p>
    <w:p w14:paraId="5AEAEB08" w14:textId="77777777" w:rsidR="00FC15A4" w:rsidRDefault="00000000">
      <w:pPr>
        <w:pStyle w:val="BodyText"/>
        <w:spacing w:before="199"/>
        <w:ind w:left="139" w:right="313"/>
      </w:pPr>
      <w:r>
        <w:rPr>
          <w:lang w:bidi="fr-CA"/>
        </w:rPr>
        <w:t>Les PSPE estiment que nul ne doit faire l’objet de discrimination, sans distinction d’ethnie, de race, d’origine nationale, de genre, d’identité de genre, d’âge, d’aptitude, de religion, d’orientation sexuelle, de situation matrimoniale et de statut parental.</w:t>
      </w:r>
    </w:p>
    <w:p w14:paraId="01477B8F" w14:textId="77777777" w:rsidR="00FC15A4" w:rsidRDefault="00000000">
      <w:pPr>
        <w:pStyle w:val="BodyText"/>
        <w:spacing w:before="201"/>
        <w:ind w:left="139" w:right="170"/>
      </w:pPr>
      <w:r>
        <w:rPr>
          <w:lang w:bidi="fr-CA"/>
        </w:rPr>
        <w:t>L’ICISP mettra tout en œuvre pour que sa structure, ses politiques et ses systèmes favorisent une atmosphère inclusive et offrent un accès égal à tous ses membres. L’ICISP encourage ses membres à participer pleinement à toutes les activités et à tous les événements de l’ICISP s’ils le souhaitent. Aucun comportement discriminatoire ou oppressif n’est toléré.</w:t>
      </w:r>
    </w:p>
    <w:p w14:paraId="2E5BD4C6" w14:textId="77777777" w:rsidR="00FC15A4" w:rsidRDefault="00FC15A4">
      <w:pPr>
        <w:pStyle w:val="BodyText"/>
        <w:rPr>
          <w:sz w:val="24"/>
        </w:rPr>
      </w:pPr>
    </w:p>
    <w:p w14:paraId="13FE6FC6" w14:textId="77777777" w:rsidR="00FC15A4" w:rsidRDefault="00000000">
      <w:pPr>
        <w:pStyle w:val="Heading2"/>
        <w:spacing w:before="177"/>
        <w:jc w:val="both"/>
      </w:pPr>
      <w:r>
        <w:rPr>
          <w:lang w:bidi="fr-CA"/>
        </w:rPr>
        <w:t>Principe 3 : Transparence</w:t>
      </w:r>
    </w:p>
    <w:p w14:paraId="2312B49E" w14:textId="77777777" w:rsidR="00FC15A4" w:rsidRDefault="00FC15A4">
      <w:pPr>
        <w:pStyle w:val="BodyText"/>
        <w:spacing w:before="10"/>
        <w:rPr>
          <w:rFonts w:ascii="Arial"/>
          <w:b/>
          <w:sz w:val="21"/>
        </w:rPr>
      </w:pPr>
    </w:p>
    <w:p w14:paraId="1FA7DDA4" w14:textId="3A39DD2F" w:rsidR="00FC15A4" w:rsidRDefault="00000000">
      <w:pPr>
        <w:pStyle w:val="BodyText"/>
        <w:spacing w:before="1"/>
        <w:ind w:left="139" w:right="216"/>
      </w:pPr>
      <w:r>
        <w:rPr>
          <w:lang w:bidi="fr-CA"/>
        </w:rPr>
        <w:t xml:space="preserve">Les PSPE sont responsables de leurs actions et de leur pratique. À titre de membre, ils doivent faire preuve d’intégrité, d’honnêteté et de loyauté envers l’ICISP et la profession. Collectivement, </w:t>
      </w:r>
      <w:r>
        <w:rPr>
          <w:lang w:bidi="fr-CA"/>
        </w:rPr>
        <w:lastRenderedPageBreak/>
        <w:t xml:space="preserve">les membres ont une obligation envers le public </w:t>
      </w:r>
      <w:r w:rsidR="00C75F0F">
        <w:rPr>
          <w:lang w:bidi="fr-CA"/>
        </w:rPr>
        <w:t>—</w:t>
      </w:r>
      <w:r>
        <w:rPr>
          <w:lang w:bidi="fr-CA"/>
        </w:rPr>
        <w:t xml:space="preserve"> qui leur fait confiance </w:t>
      </w:r>
      <w:r w:rsidR="00C75F0F">
        <w:rPr>
          <w:lang w:bidi="fr-CA"/>
        </w:rPr>
        <w:t>—</w:t>
      </w:r>
      <w:r>
        <w:rPr>
          <w:lang w:bidi="fr-CA"/>
        </w:rPr>
        <w:t xml:space="preserve"> et doivent protéger ces intérêts avec honnêteté et discernement. Chaque membre exerce dans des conditions qui ne compromettent pas les normes professionnelles et n’imposent pas de telles conditions à autrui. Les membres doivent</w:t>
      </w:r>
      <w:r w:rsidR="00C75F0F">
        <w:rPr>
          <w:lang w:bidi="fr-CA"/>
        </w:rPr>
        <w:t> </w:t>
      </w:r>
      <w:r>
        <w:rPr>
          <w:lang w:bidi="fr-CA"/>
        </w:rPr>
        <w:t>:</w:t>
      </w:r>
    </w:p>
    <w:p w14:paraId="05EE9C4F" w14:textId="77777777" w:rsidR="00FC15A4" w:rsidRDefault="00FC15A4">
      <w:pPr>
        <w:pStyle w:val="BodyText"/>
        <w:spacing w:before="1"/>
      </w:pPr>
    </w:p>
    <w:p w14:paraId="2DEF359D" w14:textId="21E7772D" w:rsidR="00FC15A4" w:rsidRDefault="00000000">
      <w:pPr>
        <w:pStyle w:val="ListParagraph"/>
        <w:numPr>
          <w:ilvl w:val="0"/>
          <w:numId w:val="1"/>
        </w:numPr>
        <w:tabs>
          <w:tab w:val="left" w:pos="859"/>
          <w:tab w:val="left" w:pos="860"/>
        </w:tabs>
        <w:spacing w:before="0"/>
        <w:ind w:hanging="361"/>
      </w:pPr>
      <w:r>
        <w:rPr>
          <w:lang w:bidi="fr-CA"/>
        </w:rPr>
        <w:t>être responsables de leurs actes vis-à-vis de leur employeur et de l’ICISP</w:t>
      </w:r>
      <w:r w:rsidR="00C75F0F">
        <w:rPr>
          <w:lang w:bidi="fr-CA"/>
        </w:rPr>
        <w:t> </w:t>
      </w:r>
      <w:r>
        <w:rPr>
          <w:lang w:bidi="fr-CA"/>
        </w:rPr>
        <w:t>;</w:t>
      </w:r>
    </w:p>
    <w:p w14:paraId="4CE89EFD" w14:textId="47D3ACD3" w:rsidR="00FC15A4" w:rsidRDefault="00000000">
      <w:pPr>
        <w:pStyle w:val="ListParagraph"/>
        <w:numPr>
          <w:ilvl w:val="0"/>
          <w:numId w:val="1"/>
        </w:numPr>
        <w:tabs>
          <w:tab w:val="left" w:pos="859"/>
          <w:tab w:val="left" w:pos="860"/>
        </w:tabs>
        <w:ind w:hanging="361"/>
      </w:pPr>
      <w:r>
        <w:rPr>
          <w:lang w:bidi="fr-CA"/>
        </w:rPr>
        <w:t>reconnaître leurs limites et demander de l’aide si nécessaire</w:t>
      </w:r>
      <w:r w:rsidR="00C75F0F">
        <w:rPr>
          <w:lang w:bidi="fr-CA"/>
        </w:rPr>
        <w:t> </w:t>
      </w:r>
      <w:r>
        <w:rPr>
          <w:lang w:bidi="fr-CA"/>
        </w:rPr>
        <w:t>;</w:t>
      </w:r>
    </w:p>
    <w:p w14:paraId="13283507" w14:textId="1E99EC54" w:rsidR="00FC15A4" w:rsidRDefault="00000000">
      <w:pPr>
        <w:pStyle w:val="ListParagraph"/>
        <w:numPr>
          <w:ilvl w:val="0"/>
          <w:numId w:val="1"/>
        </w:numPr>
        <w:tabs>
          <w:tab w:val="left" w:pos="859"/>
          <w:tab w:val="left" w:pos="860"/>
        </w:tabs>
        <w:spacing w:before="121"/>
        <w:ind w:hanging="361"/>
      </w:pPr>
      <w:r>
        <w:rPr>
          <w:lang w:bidi="fr-CA"/>
        </w:rPr>
        <w:t>veiller à ce que leurs problèmes personnels ne compromettent pas leurs performance</w:t>
      </w:r>
      <w:r w:rsidR="00C75F0F">
        <w:rPr>
          <w:lang w:bidi="fr-CA"/>
        </w:rPr>
        <w:t>s</w:t>
      </w:r>
      <w:r>
        <w:rPr>
          <w:lang w:bidi="fr-CA"/>
        </w:rPr>
        <w:t xml:space="preserve"> professionnelle</w:t>
      </w:r>
      <w:r w:rsidR="00C75F0F">
        <w:rPr>
          <w:lang w:bidi="fr-CA"/>
        </w:rPr>
        <w:t>s </w:t>
      </w:r>
      <w:r>
        <w:rPr>
          <w:lang w:bidi="fr-CA"/>
        </w:rPr>
        <w:t>;</w:t>
      </w:r>
    </w:p>
    <w:p w14:paraId="41D3E53C" w14:textId="120C058C" w:rsidR="00FC15A4" w:rsidRDefault="00000000">
      <w:pPr>
        <w:pStyle w:val="ListParagraph"/>
        <w:numPr>
          <w:ilvl w:val="0"/>
          <w:numId w:val="1"/>
        </w:numPr>
        <w:tabs>
          <w:tab w:val="left" w:pos="859"/>
          <w:tab w:val="left" w:pos="860"/>
        </w:tabs>
        <w:spacing w:before="80"/>
        <w:ind w:hanging="361"/>
      </w:pPr>
      <w:r>
        <w:rPr>
          <w:lang w:bidi="fr-CA"/>
        </w:rPr>
        <w:t>demander de l’aide et du soutien, en cas de besoin, sur des questions personnelles et professionnelles</w:t>
      </w:r>
      <w:r w:rsidR="00C75F0F">
        <w:rPr>
          <w:lang w:bidi="fr-CA"/>
        </w:rPr>
        <w:t> </w:t>
      </w:r>
      <w:r>
        <w:rPr>
          <w:lang w:bidi="fr-CA"/>
        </w:rPr>
        <w:t>;</w:t>
      </w:r>
    </w:p>
    <w:p w14:paraId="790DFDEB" w14:textId="723D73B8" w:rsidR="00FC15A4" w:rsidRDefault="00000000">
      <w:pPr>
        <w:pStyle w:val="ListParagraph"/>
        <w:numPr>
          <w:ilvl w:val="0"/>
          <w:numId w:val="1"/>
        </w:numPr>
        <w:tabs>
          <w:tab w:val="left" w:pos="859"/>
          <w:tab w:val="left" w:pos="860"/>
        </w:tabs>
        <w:ind w:right="649"/>
      </w:pPr>
      <w:r>
        <w:rPr>
          <w:lang w:bidi="fr-CA"/>
        </w:rPr>
        <w:t>se conformer et coopérer à toute mesure disciplinaire imposée par l’ICISP, qu’il s’agisse d’une formation, d’une suspension ou d’une expulsion</w:t>
      </w:r>
      <w:r w:rsidR="00C75F0F">
        <w:rPr>
          <w:lang w:bidi="fr-CA"/>
        </w:rPr>
        <w:t> </w:t>
      </w:r>
      <w:r>
        <w:rPr>
          <w:lang w:bidi="fr-CA"/>
        </w:rPr>
        <w:t>;</w:t>
      </w:r>
    </w:p>
    <w:p w14:paraId="28D31962" w14:textId="3A8D4BF6" w:rsidR="00FC15A4" w:rsidRDefault="00000000">
      <w:pPr>
        <w:pStyle w:val="ListParagraph"/>
        <w:numPr>
          <w:ilvl w:val="0"/>
          <w:numId w:val="1"/>
        </w:numPr>
        <w:tabs>
          <w:tab w:val="left" w:pos="859"/>
          <w:tab w:val="left" w:pos="860"/>
        </w:tabs>
        <w:spacing w:before="121"/>
        <w:ind w:hanging="361"/>
      </w:pPr>
      <w:r>
        <w:rPr>
          <w:lang w:bidi="fr-CA"/>
        </w:rPr>
        <w:t>ne pas s’ingérer dans les enquêtes sur leur conduite ou celle d’autres personnes</w:t>
      </w:r>
      <w:r w:rsidR="00C75F0F">
        <w:rPr>
          <w:lang w:bidi="fr-CA"/>
        </w:rPr>
        <w:t> </w:t>
      </w:r>
      <w:r>
        <w:rPr>
          <w:lang w:bidi="fr-CA"/>
        </w:rPr>
        <w:t>;</w:t>
      </w:r>
    </w:p>
    <w:p w14:paraId="45818590" w14:textId="77777777" w:rsidR="00FC15A4" w:rsidRDefault="00000000">
      <w:pPr>
        <w:pStyle w:val="ListParagraph"/>
        <w:numPr>
          <w:ilvl w:val="0"/>
          <w:numId w:val="1"/>
        </w:numPr>
        <w:tabs>
          <w:tab w:val="left" w:pos="859"/>
          <w:tab w:val="left" w:pos="860"/>
        </w:tabs>
        <w:ind w:hanging="361"/>
      </w:pPr>
      <w:r>
        <w:rPr>
          <w:lang w:bidi="fr-CA"/>
        </w:rPr>
        <w:t>signaler toute violation connue du Code de déontologie.</w:t>
      </w:r>
    </w:p>
    <w:p w14:paraId="14EDD1A9" w14:textId="77777777" w:rsidR="00FC15A4" w:rsidRDefault="00FC15A4">
      <w:pPr>
        <w:pStyle w:val="BodyText"/>
        <w:spacing w:before="5"/>
        <w:rPr>
          <w:sz w:val="32"/>
        </w:rPr>
      </w:pPr>
    </w:p>
    <w:p w14:paraId="02910CE7" w14:textId="77777777" w:rsidR="00FC15A4" w:rsidRDefault="00000000">
      <w:pPr>
        <w:pStyle w:val="Heading2"/>
        <w:spacing w:before="1"/>
      </w:pPr>
      <w:r>
        <w:rPr>
          <w:lang w:bidi="fr-CA"/>
        </w:rPr>
        <w:t>Principe 4 : Protection de la vie privée et confidentialité</w:t>
      </w:r>
    </w:p>
    <w:p w14:paraId="11A8987E" w14:textId="77777777" w:rsidR="00FC15A4" w:rsidRDefault="00FC15A4">
      <w:pPr>
        <w:pStyle w:val="BodyText"/>
        <w:rPr>
          <w:rFonts w:ascii="Arial"/>
          <w:b/>
        </w:rPr>
      </w:pPr>
    </w:p>
    <w:p w14:paraId="0BEED173" w14:textId="3838176A" w:rsidR="00FC15A4" w:rsidRDefault="00000000">
      <w:pPr>
        <w:pStyle w:val="BodyText"/>
        <w:spacing w:before="1"/>
        <w:ind w:left="139" w:right="105"/>
      </w:pPr>
      <w:r>
        <w:rPr>
          <w:lang w:bidi="fr-CA"/>
        </w:rPr>
        <w:t>Les PSPE reconnaissent l’importance de la vie privée et de la confidentialité. Ils protègent les renseignements personnels, médicaux, familiaux, professionnels et communautaires obtenus dans le cadre d’une relation professionnelle. Les membres connaissent et respectent les lois sur la protection de la vie privée conçues pour protéger et préserver le droit des personnes à la vie privée. Les membres doivent</w:t>
      </w:r>
      <w:r w:rsidR="00C75F0F">
        <w:rPr>
          <w:lang w:bidi="fr-CA"/>
        </w:rPr>
        <w:t> </w:t>
      </w:r>
      <w:r>
        <w:rPr>
          <w:lang w:bidi="fr-CA"/>
        </w:rPr>
        <w:t>:</w:t>
      </w:r>
    </w:p>
    <w:p w14:paraId="63E5F1AE" w14:textId="77777777" w:rsidR="00FC15A4" w:rsidRDefault="00FC15A4">
      <w:pPr>
        <w:pStyle w:val="BodyText"/>
      </w:pPr>
    </w:p>
    <w:p w14:paraId="0775964D" w14:textId="59A7E86B" w:rsidR="00FC15A4" w:rsidRDefault="00000000">
      <w:pPr>
        <w:pStyle w:val="ListParagraph"/>
        <w:numPr>
          <w:ilvl w:val="0"/>
          <w:numId w:val="1"/>
        </w:numPr>
        <w:tabs>
          <w:tab w:val="left" w:pos="859"/>
          <w:tab w:val="left" w:pos="860"/>
        </w:tabs>
        <w:spacing w:before="0"/>
        <w:ind w:hanging="361"/>
      </w:pPr>
      <w:r>
        <w:rPr>
          <w:lang w:bidi="fr-CA"/>
        </w:rPr>
        <w:t>respecter toutes les politiques de l’employeur relatives aux renseignements personnels et à la protection de la vie privée</w:t>
      </w:r>
      <w:r w:rsidR="00C75F0F">
        <w:rPr>
          <w:lang w:bidi="fr-CA"/>
        </w:rPr>
        <w:t> </w:t>
      </w:r>
      <w:r>
        <w:rPr>
          <w:lang w:bidi="fr-CA"/>
        </w:rPr>
        <w:t>;</w:t>
      </w:r>
    </w:p>
    <w:p w14:paraId="4513C5A3" w14:textId="198C38B9" w:rsidR="00FC15A4" w:rsidRDefault="00000000">
      <w:pPr>
        <w:pStyle w:val="ListParagraph"/>
        <w:numPr>
          <w:ilvl w:val="0"/>
          <w:numId w:val="1"/>
        </w:numPr>
        <w:tabs>
          <w:tab w:val="left" w:pos="859"/>
          <w:tab w:val="left" w:pos="860"/>
        </w:tabs>
        <w:ind w:right="784"/>
      </w:pPr>
      <w:r>
        <w:rPr>
          <w:lang w:bidi="fr-CA"/>
        </w:rPr>
        <w:t>prendre toutes les précautions nécessaires pour accéder, collecter, stocker, divulguer ou utiliser des renseignements personnels</w:t>
      </w:r>
      <w:r w:rsidR="00C75F0F">
        <w:rPr>
          <w:lang w:bidi="fr-CA"/>
        </w:rPr>
        <w:t> </w:t>
      </w:r>
      <w:r>
        <w:rPr>
          <w:lang w:bidi="fr-CA"/>
        </w:rPr>
        <w:t>;</w:t>
      </w:r>
    </w:p>
    <w:p w14:paraId="2291EADD" w14:textId="3368E19B" w:rsidR="00FC15A4" w:rsidRDefault="00000000">
      <w:pPr>
        <w:pStyle w:val="ListParagraph"/>
        <w:numPr>
          <w:ilvl w:val="0"/>
          <w:numId w:val="1"/>
        </w:numPr>
        <w:tabs>
          <w:tab w:val="left" w:pos="859"/>
          <w:tab w:val="left" w:pos="860"/>
        </w:tabs>
        <w:spacing w:before="120"/>
        <w:ind w:right="230"/>
      </w:pPr>
      <w:r>
        <w:rPr>
          <w:lang w:bidi="fr-CA"/>
        </w:rPr>
        <w:t>ne divulguer des renseignements personnels ou de nature délicate qu’en conformité avec l’ensemble des lois provinciales et fédérales relatives à la protection de la vie privée</w:t>
      </w:r>
      <w:r w:rsidR="00C75F0F">
        <w:rPr>
          <w:lang w:bidi="fr-CA"/>
        </w:rPr>
        <w:t> </w:t>
      </w:r>
      <w:r>
        <w:rPr>
          <w:lang w:bidi="fr-CA"/>
        </w:rPr>
        <w:t>;</w:t>
      </w:r>
    </w:p>
    <w:p w14:paraId="52EBE24C" w14:textId="77777777" w:rsidR="00FC15A4" w:rsidRDefault="00000000">
      <w:pPr>
        <w:pStyle w:val="ListParagraph"/>
        <w:numPr>
          <w:ilvl w:val="0"/>
          <w:numId w:val="1"/>
        </w:numPr>
        <w:tabs>
          <w:tab w:val="left" w:pos="859"/>
          <w:tab w:val="left" w:pos="860"/>
        </w:tabs>
        <w:spacing w:before="121"/>
        <w:ind w:hanging="361"/>
      </w:pPr>
      <w:r>
        <w:rPr>
          <w:lang w:bidi="fr-CA"/>
        </w:rPr>
        <w:t>ne pas se servir des renseignements obtenus dans le cadre de leur emploi à des fins personnelles.</w:t>
      </w:r>
    </w:p>
    <w:p w14:paraId="3E55586C" w14:textId="77777777" w:rsidR="00FC15A4" w:rsidRDefault="00FC15A4">
      <w:pPr>
        <w:pStyle w:val="BodyText"/>
        <w:rPr>
          <w:sz w:val="24"/>
        </w:rPr>
      </w:pPr>
    </w:p>
    <w:p w14:paraId="6B2E06C4" w14:textId="77777777" w:rsidR="00FC15A4" w:rsidRDefault="00FC15A4">
      <w:pPr>
        <w:pStyle w:val="BodyText"/>
        <w:spacing w:before="6"/>
        <w:rPr>
          <w:sz w:val="32"/>
        </w:rPr>
      </w:pPr>
    </w:p>
    <w:p w14:paraId="5FC67DBE" w14:textId="77777777" w:rsidR="00FC15A4" w:rsidRDefault="00000000">
      <w:pPr>
        <w:pStyle w:val="Heading2"/>
      </w:pPr>
      <w:r>
        <w:rPr>
          <w:lang w:bidi="fr-CA"/>
        </w:rPr>
        <w:t>Principe 5 : Prise de décision fondée sur des données probantes</w:t>
      </w:r>
    </w:p>
    <w:p w14:paraId="5CD2DBA1" w14:textId="77777777" w:rsidR="00FC15A4" w:rsidRDefault="00FC15A4">
      <w:pPr>
        <w:pStyle w:val="BodyText"/>
        <w:spacing w:before="10"/>
        <w:rPr>
          <w:rFonts w:ascii="Arial"/>
          <w:b/>
          <w:sz w:val="21"/>
        </w:rPr>
      </w:pPr>
    </w:p>
    <w:p w14:paraId="2040A820" w14:textId="7C08D712" w:rsidR="00FC15A4" w:rsidRDefault="00000000">
      <w:pPr>
        <w:pStyle w:val="BodyText"/>
        <w:ind w:left="139" w:right="113"/>
      </w:pPr>
      <w:r>
        <w:rPr>
          <w:lang w:bidi="fr-CA"/>
        </w:rPr>
        <w:t>Les membres ont une obligation envers les sciences et les arts pour l’avancement du domaine de la santé publique environnementale. Ils doivent être en quête perpétuelle de vérités</w:t>
      </w:r>
      <w:r w:rsidR="00C75F0F">
        <w:rPr>
          <w:lang w:bidi="fr-CA"/>
        </w:rPr>
        <w:t> </w:t>
      </w:r>
      <w:r>
        <w:rPr>
          <w:lang w:bidi="fr-CA"/>
        </w:rPr>
        <w:t>; perfectionner leur expertise professionnelle par l’enquête, le dialogue et la réflexion</w:t>
      </w:r>
      <w:r w:rsidR="00C75F0F">
        <w:rPr>
          <w:lang w:bidi="fr-CA"/>
        </w:rPr>
        <w:t> </w:t>
      </w:r>
      <w:r>
        <w:rPr>
          <w:lang w:bidi="fr-CA"/>
        </w:rPr>
        <w:t>; diffuser leurs conclusions dans l’intérêt de tous. Les membres s’engagent à fonder leur pratique et leurs travaux de politiques sur des sources fiables en santé. En l’absence de données probantes en santé concluantes et face à un risque incertain, les PSPE appliqueront le principe de précaution pour protéger le public qu’ils servent et préserveront un niveau élevé de protection de la santé publique environnementale. Les membres doivent</w:t>
      </w:r>
      <w:r w:rsidR="00C75F0F">
        <w:rPr>
          <w:lang w:bidi="fr-CA"/>
        </w:rPr>
        <w:t> </w:t>
      </w:r>
      <w:r>
        <w:rPr>
          <w:lang w:bidi="fr-CA"/>
        </w:rPr>
        <w:t>:</w:t>
      </w:r>
    </w:p>
    <w:p w14:paraId="6B7E9808" w14:textId="7A2FB948" w:rsidR="00FC15A4" w:rsidRDefault="00000000">
      <w:pPr>
        <w:pStyle w:val="ListParagraph"/>
        <w:numPr>
          <w:ilvl w:val="0"/>
          <w:numId w:val="1"/>
        </w:numPr>
        <w:tabs>
          <w:tab w:val="left" w:pos="859"/>
          <w:tab w:val="left" w:pos="860"/>
        </w:tabs>
        <w:spacing w:before="1"/>
        <w:ind w:hanging="361"/>
      </w:pPr>
      <w:r>
        <w:rPr>
          <w:lang w:bidi="fr-CA"/>
        </w:rPr>
        <w:t>promouvoir le domaine par la recherche et l’évaluation</w:t>
      </w:r>
      <w:r w:rsidR="00C75F0F">
        <w:rPr>
          <w:lang w:bidi="fr-CA"/>
        </w:rPr>
        <w:t> </w:t>
      </w:r>
      <w:r>
        <w:rPr>
          <w:lang w:bidi="fr-CA"/>
        </w:rPr>
        <w:t>;</w:t>
      </w:r>
    </w:p>
    <w:p w14:paraId="729B64E3" w14:textId="77777777" w:rsidR="00FC15A4" w:rsidRDefault="00000000">
      <w:pPr>
        <w:pStyle w:val="ListParagraph"/>
        <w:numPr>
          <w:ilvl w:val="0"/>
          <w:numId w:val="1"/>
        </w:numPr>
        <w:tabs>
          <w:tab w:val="left" w:pos="859"/>
          <w:tab w:val="left" w:pos="860"/>
        </w:tabs>
        <w:ind w:hanging="361"/>
      </w:pPr>
      <w:r>
        <w:rPr>
          <w:lang w:bidi="fr-CA"/>
        </w:rPr>
        <w:t>veiller à ce que tous les avis et conseils donnés relèvent de leur domaine de compétence.</w:t>
      </w:r>
    </w:p>
    <w:p w14:paraId="4E7A4D94" w14:textId="77777777" w:rsidR="00FC15A4" w:rsidRDefault="00FC15A4">
      <w:pPr>
        <w:pStyle w:val="BodyText"/>
        <w:spacing w:before="5"/>
        <w:rPr>
          <w:sz w:val="32"/>
        </w:rPr>
      </w:pPr>
    </w:p>
    <w:p w14:paraId="4B14DD33" w14:textId="77777777" w:rsidR="00B92627" w:rsidRDefault="00B92627">
      <w:pPr>
        <w:pStyle w:val="Heading2"/>
        <w:spacing w:before="1"/>
        <w:rPr>
          <w:lang w:bidi="fr-CA"/>
        </w:rPr>
      </w:pPr>
    </w:p>
    <w:p w14:paraId="44FEFD02" w14:textId="54A4A32D" w:rsidR="00FC15A4" w:rsidRDefault="00000000">
      <w:pPr>
        <w:pStyle w:val="Heading2"/>
        <w:spacing w:before="1"/>
      </w:pPr>
      <w:r>
        <w:rPr>
          <w:lang w:bidi="fr-CA"/>
        </w:rPr>
        <w:t>Principe 6 : Santé, bien-être et collaboration</w:t>
      </w:r>
    </w:p>
    <w:p w14:paraId="053D1231" w14:textId="77777777" w:rsidR="00FC15A4" w:rsidRDefault="00FC15A4">
      <w:pPr>
        <w:pStyle w:val="BodyText"/>
        <w:spacing w:before="10"/>
        <w:rPr>
          <w:rFonts w:ascii="Arial"/>
          <w:b/>
          <w:sz w:val="21"/>
        </w:rPr>
      </w:pPr>
    </w:p>
    <w:p w14:paraId="12EF9AD3" w14:textId="6553EE8C" w:rsidR="00FC15A4" w:rsidRDefault="00000000">
      <w:pPr>
        <w:pStyle w:val="BodyText"/>
        <w:ind w:left="139"/>
      </w:pPr>
      <w:r>
        <w:rPr>
          <w:lang w:bidi="fr-CA"/>
        </w:rPr>
        <w:t>Chaque membre collabore avec d’autres professionnels de la santé et parties prenantes afin d’atteindre les meilleurs résultats possibles pour les clients et les communautés, en comprenant et en valorisant les rôles de chacun et les contributions d’autrui. Les membres doivent</w:t>
      </w:r>
      <w:r w:rsidR="00C75F0F">
        <w:rPr>
          <w:lang w:bidi="fr-CA"/>
        </w:rPr>
        <w:t> </w:t>
      </w:r>
      <w:r>
        <w:rPr>
          <w:lang w:bidi="fr-CA"/>
        </w:rPr>
        <w:t>:</w:t>
      </w:r>
    </w:p>
    <w:p w14:paraId="0D134CE6" w14:textId="13E40727" w:rsidR="00FC15A4" w:rsidRDefault="00000000">
      <w:pPr>
        <w:pStyle w:val="ListParagraph"/>
        <w:numPr>
          <w:ilvl w:val="0"/>
          <w:numId w:val="1"/>
        </w:numPr>
        <w:tabs>
          <w:tab w:val="left" w:pos="859"/>
          <w:tab w:val="left" w:pos="860"/>
        </w:tabs>
        <w:spacing w:before="2"/>
        <w:ind w:hanging="361"/>
      </w:pPr>
      <w:r>
        <w:rPr>
          <w:lang w:bidi="fr-CA"/>
        </w:rPr>
        <w:t>agir pour la sécurité et le bien-être du public et de l’ICISP</w:t>
      </w:r>
      <w:r w:rsidR="00C75F0F">
        <w:rPr>
          <w:lang w:bidi="fr-CA"/>
        </w:rPr>
        <w:t> </w:t>
      </w:r>
      <w:r>
        <w:rPr>
          <w:lang w:bidi="fr-CA"/>
        </w:rPr>
        <w:t>;</w:t>
      </w:r>
    </w:p>
    <w:p w14:paraId="3879C888" w14:textId="77777777" w:rsidR="00FC15A4" w:rsidRDefault="00000000">
      <w:pPr>
        <w:pStyle w:val="ListParagraph"/>
        <w:numPr>
          <w:ilvl w:val="0"/>
          <w:numId w:val="1"/>
        </w:numPr>
        <w:tabs>
          <w:tab w:val="left" w:pos="859"/>
          <w:tab w:val="left" w:pos="860"/>
        </w:tabs>
        <w:ind w:right="198"/>
      </w:pPr>
      <w:r>
        <w:rPr>
          <w:lang w:bidi="fr-CA"/>
        </w:rPr>
        <w:t>collaborer dans le respect avec d’autres agences et professionnels de la santé afin d’atteindre les meilleurs résultats possibles pour la population de leurs communautés.</w:t>
      </w:r>
    </w:p>
    <w:p w14:paraId="330ECCFE" w14:textId="77777777" w:rsidR="00FC15A4" w:rsidRDefault="00FC15A4">
      <w:pPr>
        <w:pStyle w:val="BodyText"/>
        <w:spacing w:before="5"/>
        <w:rPr>
          <w:sz w:val="32"/>
        </w:rPr>
      </w:pPr>
    </w:p>
    <w:p w14:paraId="59DAFFF8" w14:textId="77777777" w:rsidR="00FC15A4" w:rsidRDefault="00000000">
      <w:pPr>
        <w:pStyle w:val="Heading2"/>
      </w:pPr>
      <w:r>
        <w:rPr>
          <w:lang w:bidi="fr-CA"/>
        </w:rPr>
        <w:t>Principe 7 : Pratique compétente</w:t>
      </w:r>
    </w:p>
    <w:p w14:paraId="419AA2D0" w14:textId="77777777" w:rsidR="00FC15A4" w:rsidRDefault="00FC15A4">
      <w:pPr>
        <w:pStyle w:val="BodyText"/>
        <w:spacing w:before="1"/>
        <w:rPr>
          <w:rFonts w:ascii="Arial"/>
          <w:b/>
        </w:rPr>
      </w:pPr>
    </w:p>
    <w:p w14:paraId="6464D79B" w14:textId="77777777" w:rsidR="00FC15A4" w:rsidRDefault="00000000">
      <w:pPr>
        <w:pStyle w:val="BodyText"/>
        <w:ind w:left="139" w:right="570"/>
      </w:pPr>
      <w:r>
        <w:rPr>
          <w:lang w:bidi="fr-CA"/>
        </w:rPr>
        <w:t>Les catégories de membres qui ne sont pas tenues par les statuts de l’ICISP de participer au programme de compétence professionnelle continue de l’ICISP ne sont pas tenues de respecter le principe 7.</w:t>
      </w:r>
    </w:p>
    <w:p w14:paraId="0634FB1F" w14:textId="77777777" w:rsidR="00FC15A4" w:rsidRDefault="00000000" w:rsidP="00B92627">
      <w:pPr>
        <w:pStyle w:val="BodyText"/>
        <w:spacing w:before="72"/>
        <w:ind w:left="139"/>
      </w:pPr>
      <w:r>
        <w:rPr>
          <w:lang w:bidi="fr-CA"/>
        </w:rPr>
        <w:t>Les PSPE veillent à maintenir leurs connaissances professionnelles à jour et saisissent les liens qui existent entre ces connaissances et l’exercice de leur profession. Les membres appliquent les connaissances, les compétences et l’expérience nécessaires à l’accomplissement de leurs tâches en santé publique. Ils participent activement et adhèrent aux objectifs et aux exigences du programme de compétences professionnelles continues (CPC) dans le cadre de leur champ d’activité respectif. Ils se tiennent informés des avancées les plus importantes dans le domaine de la santé publique.</w:t>
      </w:r>
    </w:p>
    <w:p w14:paraId="39927B86" w14:textId="18177211" w:rsidR="00FC15A4" w:rsidRDefault="00000000">
      <w:pPr>
        <w:pStyle w:val="BodyText"/>
        <w:ind w:left="139"/>
      </w:pPr>
      <w:r>
        <w:rPr>
          <w:lang w:bidi="fr-CA"/>
        </w:rPr>
        <w:t>La pratique professionnelle et l’auto-apprentissage sont alimentés par l’expérience, la recherche, la collaboration et le savoir. Les membres doivent</w:t>
      </w:r>
      <w:r w:rsidR="00C75F0F">
        <w:rPr>
          <w:lang w:bidi="fr-CA"/>
        </w:rPr>
        <w:t> </w:t>
      </w:r>
      <w:r>
        <w:rPr>
          <w:lang w:bidi="fr-CA"/>
        </w:rPr>
        <w:t>:</w:t>
      </w:r>
    </w:p>
    <w:p w14:paraId="4399A46A" w14:textId="77777777" w:rsidR="00FC15A4" w:rsidRDefault="00FC15A4">
      <w:pPr>
        <w:pStyle w:val="BodyText"/>
        <w:spacing w:before="11"/>
        <w:rPr>
          <w:sz w:val="21"/>
        </w:rPr>
      </w:pPr>
    </w:p>
    <w:p w14:paraId="78453D16" w14:textId="2DF330B8" w:rsidR="00FC15A4" w:rsidRDefault="00000000">
      <w:pPr>
        <w:pStyle w:val="ListParagraph"/>
        <w:numPr>
          <w:ilvl w:val="0"/>
          <w:numId w:val="1"/>
        </w:numPr>
        <w:tabs>
          <w:tab w:val="left" w:pos="859"/>
          <w:tab w:val="left" w:pos="860"/>
        </w:tabs>
        <w:spacing w:before="0"/>
        <w:ind w:hanging="361"/>
      </w:pPr>
      <w:r>
        <w:rPr>
          <w:lang w:bidi="fr-CA"/>
        </w:rPr>
        <w:t>effectuer les heures de développement professionnel obligatoires</w:t>
      </w:r>
      <w:r w:rsidR="00C75F0F">
        <w:rPr>
          <w:lang w:bidi="fr-CA"/>
        </w:rPr>
        <w:t> </w:t>
      </w:r>
      <w:r>
        <w:rPr>
          <w:lang w:bidi="fr-CA"/>
        </w:rPr>
        <w:t>;</w:t>
      </w:r>
    </w:p>
    <w:p w14:paraId="1345793E" w14:textId="65A0DC9B" w:rsidR="00FC15A4" w:rsidRDefault="00000000">
      <w:pPr>
        <w:pStyle w:val="ListParagraph"/>
        <w:numPr>
          <w:ilvl w:val="0"/>
          <w:numId w:val="1"/>
        </w:numPr>
        <w:tabs>
          <w:tab w:val="left" w:pos="859"/>
          <w:tab w:val="left" w:pos="860"/>
        </w:tabs>
        <w:spacing w:before="121"/>
        <w:ind w:hanging="361"/>
      </w:pPr>
      <w:r>
        <w:rPr>
          <w:lang w:bidi="fr-CA"/>
        </w:rPr>
        <w:t>assumer la responsabilité de leur propre perfectionnement professionnel</w:t>
      </w:r>
      <w:r w:rsidR="00C75F0F">
        <w:rPr>
          <w:lang w:bidi="fr-CA"/>
        </w:rPr>
        <w:t> </w:t>
      </w:r>
      <w:r>
        <w:rPr>
          <w:lang w:bidi="fr-CA"/>
        </w:rPr>
        <w:t>;</w:t>
      </w:r>
    </w:p>
    <w:p w14:paraId="6B4909ED" w14:textId="673C1760" w:rsidR="00FC15A4" w:rsidRDefault="00000000">
      <w:pPr>
        <w:pStyle w:val="ListParagraph"/>
        <w:numPr>
          <w:ilvl w:val="0"/>
          <w:numId w:val="1"/>
        </w:numPr>
        <w:tabs>
          <w:tab w:val="left" w:pos="859"/>
          <w:tab w:val="left" w:pos="860"/>
        </w:tabs>
        <w:ind w:hanging="361"/>
      </w:pPr>
      <w:r>
        <w:rPr>
          <w:lang w:bidi="fr-CA"/>
        </w:rPr>
        <w:t>partager leur savoir avec autrui et aider les étudiants et les collègues à combler les lacunes de leurs connaissances</w:t>
      </w:r>
      <w:r w:rsidR="00C75F0F">
        <w:rPr>
          <w:lang w:bidi="fr-CA"/>
        </w:rPr>
        <w:t> </w:t>
      </w:r>
      <w:r>
        <w:rPr>
          <w:lang w:bidi="fr-CA"/>
        </w:rPr>
        <w:t>;</w:t>
      </w:r>
    </w:p>
    <w:p w14:paraId="6C0EB119" w14:textId="77777777" w:rsidR="00FC15A4" w:rsidRDefault="00000000">
      <w:pPr>
        <w:pStyle w:val="ListParagraph"/>
        <w:numPr>
          <w:ilvl w:val="0"/>
          <w:numId w:val="1"/>
        </w:numPr>
        <w:tabs>
          <w:tab w:val="left" w:pos="859"/>
          <w:tab w:val="left" w:pos="860"/>
        </w:tabs>
        <w:spacing w:before="122"/>
        <w:ind w:right="502"/>
      </w:pPr>
      <w:r>
        <w:rPr>
          <w:lang w:bidi="fr-CA"/>
        </w:rPr>
        <w:t>diagnostiquer ses propres lacunes par le biais d’une auto-évaluation ou avec l’aide d’autrui et s’employer à les combler.</w:t>
      </w:r>
    </w:p>
    <w:p w14:paraId="0AACEA6C" w14:textId="77777777" w:rsidR="00FC15A4" w:rsidRDefault="00FC15A4">
      <w:pPr>
        <w:pStyle w:val="BodyText"/>
        <w:spacing w:before="4"/>
        <w:rPr>
          <w:sz w:val="32"/>
        </w:rPr>
      </w:pPr>
    </w:p>
    <w:p w14:paraId="26A9D8B9" w14:textId="77777777" w:rsidR="00FC15A4" w:rsidRDefault="00000000">
      <w:pPr>
        <w:pStyle w:val="Heading1"/>
      </w:pPr>
      <w:r>
        <w:rPr>
          <w:color w:val="2E5395"/>
          <w:lang w:bidi="fr-CA"/>
        </w:rPr>
        <w:t>Plaintes, enquêtes et sanctions</w:t>
      </w:r>
    </w:p>
    <w:p w14:paraId="5CEC007B" w14:textId="77777777" w:rsidR="00FC15A4" w:rsidRDefault="00000000">
      <w:pPr>
        <w:pStyle w:val="BodyText"/>
        <w:spacing w:before="253"/>
        <w:ind w:left="139" w:right="423"/>
      </w:pPr>
      <w:r>
        <w:rPr>
          <w:lang w:bidi="fr-CA"/>
        </w:rPr>
        <w:t>Pour signaler des infractions au Code de déontologie, et connaître les détails de la procédure de plainte, d’enquête et de sanctions, veuillez vous reporter à la politique nationale n</w:t>
      </w:r>
      <w:r>
        <w:rPr>
          <w:vertAlign w:val="superscript"/>
          <w:lang w:bidi="fr-CA"/>
        </w:rPr>
        <w:t>o</w:t>
      </w:r>
      <w:r>
        <w:rPr>
          <w:lang w:bidi="fr-CA"/>
        </w:rPr>
        <w:t> 27.</w:t>
      </w:r>
    </w:p>
    <w:sectPr w:rsidR="00FC15A4">
      <w:pgSz w:w="12240" w:h="15840"/>
      <w:pgMar w:top="1380" w:right="1100" w:bottom="1280" w:left="108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542C" w14:textId="77777777" w:rsidR="0084098A" w:rsidRDefault="0084098A">
      <w:r>
        <w:separator/>
      </w:r>
    </w:p>
  </w:endnote>
  <w:endnote w:type="continuationSeparator" w:id="0">
    <w:p w14:paraId="1CC7EACA" w14:textId="77777777" w:rsidR="0084098A" w:rsidRDefault="0084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7E7C" w14:textId="77777777" w:rsidR="00FC15A4" w:rsidRDefault="0084098A">
    <w:pPr>
      <w:pStyle w:val="BodyText"/>
      <w:spacing w:line="14" w:lineRule="auto"/>
      <w:rPr>
        <w:sz w:val="20"/>
      </w:rPr>
    </w:pPr>
    <w:r>
      <w:rPr>
        <w:lang w:bidi="fr-CA"/>
      </w:rPr>
      <w:pict w14:anchorId="0FC2F015">
        <v:shapetype id="_x0000_t202" coordsize="21600,21600" o:spt="202" path="m,l,21600r21600,l21600,xe">
          <v:stroke joinstyle="miter"/>
          <v:path gradientshapeok="t" o:connecttype="rect"/>
        </v:shapetype>
        <v:shape id="_x0000_s1025" type="#_x0000_t202" alt="" style="position:absolute;margin-left:280.35pt;margin-top:726.8pt;width:54.4pt;height:13.05pt;z-index:-251658752;mso-wrap-style:square;mso-wrap-edited:f;mso-width-percent:0;mso-height-percent:0;mso-position-horizontal-relative:page;mso-position-vertical-relative:page;mso-width-percent:0;mso-height-percent:0;v-text-anchor:top" filled="f" stroked="f">
          <v:textbox inset="0,0,0,0">
            <w:txbxContent>
              <w:p w14:paraId="372B4651" w14:textId="77777777" w:rsidR="00FC15A4" w:rsidRDefault="00000000">
                <w:pPr>
                  <w:spacing w:line="245" w:lineRule="exact"/>
                  <w:ind w:left="20"/>
                  <w:rPr>
                    <w:rFonts w:ascii="Calibri"/>
                    <w:b/>
                  </w:rPr>
                </w:pPr>
                <w:r>
                  <w:rPr>
                    <w:lang w:bidi="fr-CA"/>
                  </w:rPr>
                  <w:t>Page </w:t>
                </w:r>
                <w:r>
                  <w:rPr>
                    <w:lang w:bidi="fr-CA"/>
                  </w:rPr>
                  <w:fldChar w:fldCharType="begin"/>
                </w:r>
                <w:r>
                  <w:rPr>
                    <w:b/>
                    <w:lang w:bidi="fr-CA"/>
                  </w:rPr>
                  <w:instrText xml:space="preserve"> PAGE </w:instrText>
                </w:r>
                <w:r>
                  <w:rPr>
                    <w:lang w:bidi="fr-CA"/>
                  </w:rPr>
                  <w:fldChar w:fldCharType="separate"/>
                </w:r>
                <w:r>
                  <w:rPr>
                    <w:lang w:bidi="fr-CA"/>
                  </w:rPr>
                  <w:t>1</w:t>
                </w:r>
                <w:r>
                  <w:rPr>
                    <w:lang w:bidi="fr-CA"/>
                  </w:rPr>
                  <w:fldChar w:fldCharType="end"/>
                </w:r>
                <w:r>
                  <w:rPr>
                    <w:lang w:bidi="fr-CA"/>
                  </w:rPr>
                  <w:t xml:space="preserve"> sur </w:t>
                </w:r>
                <w:r>
                  <w:rPr>
                    <w:b/>
                    <w:lang w:bidi="fr-CA"/>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D817" w14:textId="77777777" w:rsidR="0084098A" w:rsidRDefault="0084098A">
      <w:r>
        <w:separator/>
      </w:r>
    </w:p>
  </w:footnote>
  <w:footnote w:type="continuationSeparator" w:id="0">
    <w:p w14:paraId="0CBB9FB0" w14:textId="77777777" w:rsidR="0084098A" w:rsidRDefault="0084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4C2"/>
    <w:multiLevelType w:val="hybridMultilevel"/>
    <w:tmpl w:val="1C5C634E"/>
    <w:lvl w:ilvl="0" w:tplc="004A8464">
      <w:numFmt w:val="bullet"/>
      <w:lvlText w:val="o"/>
      <w:lvlJc w:val="left"/>
      <w:pPr>
        <w:ind w:left="1555" w:hanging="360"/>
      </w:pPr>
      <w:rPr>
        <w:rFonts w:ascii="Courier New" w:eastAsia="Courier New" w:hAnsi="Courier New" w:cs="Courier New" w:hint="default"/>
        <w:w w:val="100"/>
        <w:sz w:val="22"/>
        <w:szCs w:val="22"/>
        <w:lang w:val="en-US" w:eastAsia="en-US" w:bidi="ar-SA"/>
      </w:rPr>
    </w:lvl>
    <w:lvl w:ilvl="1" w:tplc="65D29368">
      <w:numFmt w:val="bullet"/>
      <w:lvlText w:val="•"/>
      <w:lvlJc w:val="left"/>
      <w:pPr>
        <w:ind w:left="2382" w:hanging="360"/>
      </w:pPr>
      <w:rPr>
        <w:rFonts w:hint="default"/>
        <w:lang w:val="en-US" w:eastAsia="en-US" w:bidi="ar-SA"/>
      </w:rPr>
    </w:lvl>
    <w:lvl w:ilvl="2" w:tplc="64964356">
      <w:numFmt w:val="bullet"/>
      <w:lvlText w:val="•"/>
      <w:lvlJc w:val="left"/>
      <w:pPr>
        <w:ind w:left="3205" w:hanging="360"/>
      </w:pPr>
      <w:rPr>
        <w:rFonts w:hint="default"/>
        <w:lang w:val="en-US" w:eastAsia="en-US" w:bidi="ar-SA"/>
      </w:rPr>
    </w:lvl>
    <w:lvl w:ilvl="3" w:tplc="C0725F54">
      <w:numFmt w:val="bullet"/>
      <w:lvlText w:val="•"/>
      <w:lvlJc w:val="left"/>
      <w:pPr>
        <w:ind w:left="4027" w:hanging="360"/>
      </w:pPr>
      <w:rPr>
        <w:rFonts w:hint="default"/>
        <w:lang w:val="en-US" w:eastAsia="en-US" w:bidi="ar-SA"/>
      </w:rPr>
    </w:lvl>
    <w:lvl w:ilvl="4" w:tplc="73DC33EA">
      <w:numFmt w:val="bullet"/>
      <w:lvlText w:val="•"/>
      <w:lvlJc w:val="left"/>
      <w:pPr>
        <w:ind w:left="4850" w:hanging="360"/>
      </w:pPr>
      <w:rPr>
        <w:rFonts w:hint="default"/>
        <w:lang w:val="en-US" w:eastAsia="en-US" w:bidi="ar-SA"/>
      </w:rPr>
    </w:lvl>
    <w:lvl w:ilvl="5" w:tplc="EF264962">
      <w:numFmt w:val="bullet"/>
      <w:lvlText w:val="•"/>
      <w:lvlJc w:val="left"/>
      <w:pPr>
        <w:ind w:left="5673" w:hanging="360"/>
      </w:pPr>
      <w:rPr>
        <w:rFonts w:hint="default"/>
        <w:lang w:val="en-US" w:eastAsia="en-US" w:bidi="ar-SA"/>
      </w:rPr>
    </w:lvl>
    <w:lvl w:ilvl="6" w:tplc="BB24C9A0">
      <w:numFmt w:val="bullet"/>
      <w:lvlText w:val="•"/>
      <w:lvlJc w:val="left"/>
      <w:pPr>
        <w:ind w:left="6495" w:hanging="360"/>
      </w:pPr>
      <w:rPr>
        <w:rFonts w:hint="default"/>
        <w:lang w:val="en-US" w:eastAsia="en-US" w:bidi="ar-SA"/>
      </w:rPr>
    </w:lvl>
    <w:lvl w:ilvl="7" w:tplc="75800ABC">
      <w:numFmt w:val="bullet"/>
      <w:lvlText w:val="•"/>
      <w:lvlJc w:val="left"/>
      <w:pPr>
        <w:ind w:left="7318" w:hanging="360"/>
      </w:pPr>
      <w:rPr>
        <w:rFonts w:hint="default"/>
        <w:lang w:val="en-US" w:eastAsia="en-US" w:bidi="ar-SA"/>
      </w:rPr>
    </w:lvl>
    <w:lvl w:ilvl="8" w:tplc="18A83802">
      <w:numFmt w:val="bullet"/>
      <w:lvlText w:val="•"/>
      <w:lvlJc w:val="left"/>
      <w:pPr>
        <w:ind w:left="8140" w:hanging="360"/>
      </w:pPr>
      <w:rPr>
        <w:rFonts w:hint="default"/>
        <w:lang w:val="en-US" w:eastAsia="en-US" w:bidi="ar-SA"/>
      </w:rPr>
    </w:lvl>
  </w:abstractNum>
  <w:abstractNum w:abstractNumId="1" w15:restartNumberingAfterBreak="0">
    <w:nsid w:val="25283159"/>
    <w:multiLevelType w:val="hybridMultilevel"/>
    <w:tmpl w:val="C0DC5CD0"/>
    <w:lvl w:ilvl="0" w:tplc="ECF4CFF8">
      <w:numFmt w:val="bullet"/>
      <w:lvlText w:val=""/>
      <w:lvlJc w:val="left"/>
      <w:pPr>
        <w:ind w:left="835" w:hanging="360"/>
      </w:pPr>
      <w:rPr>
        <w:rFonts w:ascii="Symbol" w:eastAsia="Symbol" w:hAnsi="Symbol" w:cs="Symbol" w:hint="default"/>
        <w:w w:val="100"/>
        <w:sz w:val="22"/>
        <w:szCs w:val="22"/>
        <w:lang w:val="en-US" w:eastAsia="en-US" w:bidi="ar-SA"/>
      </w:rPr>
    </w:lvl>
    <w:lvl w:ilvl="1" w:tplc="EA985A1A">
      <w:numFmt w:val="bullet"/>
      <w:lvlText w:val="•"/>
      <w:lvlJc w:val="left"/>
      <w:pPr>
        <w:ind w:left="1734" w:hanging="360"/>
      </w:pPr>
      <w:rPr>
        <w:rFonts w:hint="default"/>
        <w:lang w:val="en-US" w:eastAsia="en-US" w:bidi="ar-SA"/>
      </w:rPr>
    </w:lvl>
    <w:lvl w:ilvl="2" w:tplc="E93E7628">
      <w:numFmt w:val="bullet"/>
      <w:lvlText w:val="•"/>
      <w:lvlJc w:val="left"/>
      <w:pPr>
        <w:ind w:left="2629" w:hanging="360"/>
      </w:pPr>
      <w:rPr>
        <w:rFonts w:hint="default"/>
        <w:lang w:val="en-US" w:eastAsia="en-US" w:bidi="ar-SA"/>
      </w:rPr>
    </w:lvl>
    <w:lvl w:ilvl="3" w:tplc="6AB04D92">
      <w:numFmt w:val="bullet"/>
      <w:lvlText w:val="•"/>
      <w:lvlJc w:val="left"/>
      <w:pPr>
        <w:ind w:left="3523" w:hanging="360"/>
      </w:pPr>
      <w:rPr>
        <w:rFonts w:hint="default"/>
        <w:lang w:val="en-US" w:eastAsia="en-US" w:bidi="ar-SA"/>
      </w:rPr>
    </w:lvl>
    <w:lvl w:ilvl="4" w:tplc="6D6087F0">
      <w:numFmt w:val="bullet"/>
      <w:lvlText w:val="•"/>
      <w:lvlJc w:val="left"/>
      <w:pPr>
        <w:ind w:left="4418" w:hanging="360"/>
      </w:pPr>
      <w:rPr>
        <w:rFonts w:hint="default"/>
        <w:lang w:val="en-US" w:eastAsia="en-US" w:bidi="ar-SA"/>
      </w:rPr>
    </w:lvl>
    <w:lvl w:ilvl="5" w:tplc="7D6872C0">
      <w:numFmt w:val="bullet"/>
      <w:lvlText w:val="•"/>
      <w:lvlJc w:val="left"/>
      <w:pPr>
        <w:ind w:left="5313" w:hanging="360"/>
      </w:pPr>
      <w:rPr>
        <w:rFonts w:hint="default"/>
        <w:lang w:val="en-US" w:eastAsia="en-US" w:bidi="ar-SA"/>
      </w:rPr>
    </w:lvl>
    <w:lvl w:ilvl="6" w:tplc="CCAEECEA">
      <w:numFmt w:val="bullet"/>
      <w:lvlText w:val="•"/>
      <w:lvlJc w:val="left"/>
      <w:pPr>
        <w:ind w:left="6207" w:hanging="360"/>
      </w:pPr>
      <w:rPr>
        <w:rFonts w:hint="default"/>
        <w:lang w:val="en-US" w:eastAsia="en-US" w:bidi="ar-SA"/>
      </w:rPr>
    </w:lvl>
    <w:lvl w:ilvl="7" w:tplc="8A486330">
      <w:numFmt w:val="bullet"/>
      <w:lvlText w:val="•"/>
      <w:lvlJc w:val="left"/>
      <w:pPr>
        <w:ind w:left="7102" w:hanging="360"/>
      </w:pPr>
      <w:rPr>
        <w:rFonts w:hint="default"/>
        <w:lang w:val="en-US" w:eastAsia="en-US" w:bidi="ar-SA"/>
      </w:rPr>
    </w:lvl>
    <w:lvl w:ilvl="8" w:tplc="837A64CE">
      <w:numFmt w:val="bullet"/>
      <w:lvlText w:val="•"/>
      <w:lvlJc w:val="left"/>
      <w:pPr>
        <w:ind w:left="7996" w:hanging="360"/>
      </w:pPr>
      <w:rPr>
        <w:rFonts w:hint="default"/>
        <w:lang w:val="en-US" w:eastAsia="en-US" w:bidi="ar-SA"/>
      </w:rPr>
    </w:lvl>
  </w:abstractNum>
  <w:abstractNum w:abstractNumId="2" w15:restartNumberingAfterBreak="0">
    <w:nsid w:val="2A4F447D"/>
    <w:multiLevelType w:val="hybridMultilevel"/>
    <w:tmpl w:val="7FC41D86"/>
    <w:lvl w:ilvl="0" w:tplc="E6E09D6E">
      <w:numFmt w:val="bullet"/>
      <w:lvlText w:val="●"/>
      <w:lvlJc w:val="left"/>
      <w:pPr>
        <w:ind w:left="859" w:hanging="360"/>
      </w:pPr>
      <w:rPr>
        <w:rFonts w:ascii="Arial MT" w:eastAsia="Arial MT" w:hAnsi="Arial MT" w:cs="Arial MT" w:hint="default"/>
        <w:w w:val="60"/>
        <w:sz w:val="22"/>
        <w:szCs w:val="22"/>
        <w:lang w:val="en-US" w:eastAsia="en-US" w:bidi="ar-SA"/>
      </w:rPr>
    </w:lvl>
    <w:lvl w:ilvl="1" w:tplc="0A969832">
      <w:numFmt w:val="bullet"/>
      <w:lvlText w:val="•"/>
      <w:lvlJc w:val="left"/>
      <w:pPr>
        <w:ind w:left="1780" w:hanging="360"/>
      </w:pPr>
      <w:rPr>
        <w:rFonts w:hint="default"/>
        <w:lang w:val="en-US" w:eastAsia="en-US" w:bidi="ar-SA"/>
      </w:rPr>
    </w:lvl>
    <w:lvl w:ilvl="2" w:tplc="43C8A2AA">
      <w:numFmt w:val="bullet"/>
      <w:lvlText w:val="•"/>
      <w:lvlJc w:val="left"/>
      <w:pPr>
        <w:ind w:left="2700" w:hanging="360"/>
      </w:pPr>
      <w:rPr>
        <w:rFonts w:hint="default"/>
        <w:lang w:val="en-US" w:eastAsia="en-US" w:bidi="ar-SA"/>
      </w:rPr>
    </w:lvl>
    <w:lvl w:ilvl="3" w:tplc="DF3EC778">
      <w:numFmt w:val="bullet"/>
      <w:lvlText w:val="•"/>
      <w:lvlJc w:val="left"/>
      <w:pPr>
        <w:ind w:left="3620" w:hanging="360"/>
      </w:pPr>
      <w:rPr>
        <w:rFonts w:hint="default"/>
        <w:lang w:val="en-US" w:eastAsia="en-US" w:bidi="ar-SA"/>
      </w:rPr>
    </w:lvl>
    <w:lvl w:ilvl="4" w:tplc="D78224B8">
      <w:numFmt w:val="bullet"/>
      <w:lvlText w:val="•"/>
      <w:lvlJc w:val="left"/>
      <w:pPr>
        <w:ind w:left="4540" w:hanging="360"/>
      </w:pPr>
      <w:rPr>
        <w:rFonts w:hint="default"/>
        <w:lang w:val="en-US" w:eastAsia="en-US" w:bidi="ar-SA"/>
      </w:rPr>
    </w:lvl>
    <w:lvl w:ilvl="5" w:tplc="0F30E9A8">
      <w:numFmt w:val="bullet"/>
      <w:lvlText w:val="•"/>
      <w:lvlJc w:val="left"/>
      <w:pPr>
        <w:ind w:left="5460" w:hanging="360"/>
      </w:pPr>
      <w:rPr>
        <w:rFonts w:hint="default"/>
        <w:lang w:val="en-US" w:eastAsia="en-US" w:bidi="ar-SA"/>
      </w:rPr>
    </w:lvl>
    <w:lvl w:ilvl="6" w:tplc="99A6DE4C">
      <w:numFmt w:val="bullet"/>
      <w:lvlText w:val="•"/>
      <w:lvlJc w:val="left"/>
      <w:pPr>
        <w:ind w:left="6380" w:hanging="360"/>
      </w:pPr>
      <w:rPr>
        <w:rFonts w:hint="default"/>
        <w:lang w:val="en-US" w:eastAsia="en-US" w:bidi="ar-SA"/>
      </w:rPr>
    </w:lvl>
    <w:lvl w:ilvl="7" w:tplc="A5B46838">
      <w:numFmt w:val="bullet"/>
      <w:lvlText w:val="•"/>
      <w:lvlJc w:val="left"/>
      <w:pPr>
        <w:ind w:left="7300" w:hanging="360"/>
      </w:pPr>
      <w:rPr>
        <w:rFonts w:hint="default"/>
        <w:lang w:val="en-US" w:eastAsia="en-US" w:bidi="ar-SA"/>
      </w:rPr>
    </w:lvl>
    <w:lvl w:ilvl="8" w:tplc="8938A2C4">
      <w:numFmt w:val="bullet"/>
      <w:lvlText w:val="•"/>
      <w:lvlJc w:val="left"/>
      <w:pPr>
        <w:ind w:left="8220" w:hanging="360"/>
      </w:pPr>
      <w:rPr>
        <w:rFonts w:hint="default"/>
        <w:lang w:val="en-US" w:eastAsia="en-US" w:bidi="ar-SA"/>
      </w:rPr>
    </w:lvl>
  </w:abstractNum>
  <w:abstractNum w:abstractNumId="3" w15:restartNumberingAfterBreak="0">
    <w:nsid w:val="586E4803"/>
    <w:multiLevelType w:val="multilevel"/>
    <w:tmpl w:val="C4E049D2"/>
    <w:lvl w:ilvl="0">
      <w:start w:val="1"/>
      <w:numFmt w:val="decimal"/>
      <w:lvlText w:val="%1"/>
      <w:lvlJc w:val="left"/>
      <w:pPr>
        <w:ind w:left="544" w:hanging="430"/>
        <w:jc w:val="left"/>
      </w:pPr>
      <w:rPr>
        <w:rFonts w:hint="default"/>
        <w:lang w:val="en-US" w:eastAsia="en-US" w:bidi="ar-SA"/>
      </w:rPr>
    </w:lvl>
    <w:lvl w:ilvl="1">
      <w:start w:val="1"/>
      <w:numFmt w:val="decimal"/>
      <w:lvlText w:val="%1.%2"/>
      <w:lvlJc w:val="left"/>
      <w:pPr>
        <w:ind w:left="544" w:hanging="430"/>
        <w:jc w:val="left"/>
      </w:pPr>
      <w:rPr>
        <w:rFonts w:ascii="Arial" w:eastAsia="Arial" w:hAnsi="Arial" w:cs="Arial" w:hint="default"/>
        <w:b/>
        <w:bCs/>
        <w:w w:val="100"/>
        <w:sz w:val="22"/>
        <w:szCs w:val="22"/>
        <w:lang w:val="en-US" w:eastAsia="en-US" w:bidi="ar-SA"/>
      </w:rPr>
    </w:lvl>
    <w:lvl w:ilvl="2">
      <w:numFmt w:val="bullet"/>
      <w:lvlText w:val=""/>
      <w:lvlJc w:val="left"/>
      <w:pPr>
        <w:ind w:left="835" w:hanging="360"/>
      </w:pPr>
      <w:rPr>
        <w:rFonts w:ascii="Symbol" w:eastAsia="Symbol" w:hAnsi="Symbol" w:cs="Symbol" w:hint="default"/>
        <w:w w:val="100"/>
        <w:sz w:val="22"/>
        <w:szCs w:val="22"/>
        <w:lang w:val="en-US" w:eastAsia="en-US" w:bidi="ar-SA"/>
      </w:rPr>
    </w:lvl>
    <w:lvl w:ilvl="3">
      <w:numFmt w:val="bullet"/>
      <w:lvlText w:val="•"/>
      <w:lvlJc w:val="left"/>
      <w:pPr>
        <w:ind w:left="2828" w:hanging="360"/>
      </w:pPr>
      <w:rPr>
        <w:rFonts w:hint="default"/>
        <w:lang w:val="en-US" w:eastAsia="en-US" w:bidi="ar-SA"/>
      </w:rPr>
    </w:lvl>
    <w:lvl w:ilvl="4">
      <w:numFmt w:val="bullet"/>
      <w:lvlText w:val="•"/>
      <w:lvlJc w:val="left"/>
      <w:pPr>
        <w:ind w:left="3822" w:hanging="360"/>
      </w:pPr>
      <w:rPr>
        <w:rFonts w:hint="default"/>
        <w:lang w:val="en-US" w:eastAsia="en-US" w:bidi="ar-SA"/>
      </w:rPr>
    </w:lvl>
    <w:lvl w:ilvl="5">
      <w:numFmt w:val="bullet"/>
      <w:lvlText w:val="•"/>
      <w:lvlJc w:val="left"/>
      <w:pPr>
        <w:ind w:left="4816" w:hanging="360"/>
      </w:pPr>
      <w:rPr>
        <w:rFonts w:hint="default"/>
        <w:lang w:val="en-US" w:eastAsia="en-US" w:bidi="ar-SA"/>
      </w:rPr>
    </w:lvl>
    <w:lvl w:ilvl="6">
      <w:numFmt w:val="bullet"/>
      <w:lvlText w:val="•"/>
      <w:lvlJc w:val="left"/>
      <w:pPr>
        <w:ind w:left="5810" w:hanging="360"/>
      </w:pPr>
      <w:rPr>
        <w:rFonts w:hint="default"/>
        <w:lang w:val="en-US" w:eastAsia="en-US" w:bidi="ar-SA"/>
      </w:rPr>
    </w:lvl>
    <w:lvl w:ilvl="7">
      <w:numFmt w:val="bullet"/>
      <w:lvlText w:val="•"/>
      <w:lvlJc w:val="left"/>
      <w:pPr>
        <w:ind w:left="6804" w:hanging="360"/>
      </w:pPr>
      <w:rPr>
        <w:rFonts w:hint="default"/>
        <w:lang w:val="en-US" w:eastAsia="en-US" w:bidi="ar-SA"/>
      </w:rPr>
    </w:lvl>
    <w:lvl w:ilvl="8">
      <w:numFmt w:val="bullet"/>
      <w:lvlText w:val="•"/>
      <w:lvlJc w:val="left"/>
      <w:pPr>
        <w:ind w:left="7798" w:hanging="360"/>
      </w:pPr>
      <w:rPr>
        <w:rFonts w:hint="default"/>
        <w:lang w:val="en-US" w:eastAsia="en-US" w:bidi="ar-SA"/>
      </w:rPr>
    </w:lvl>
  </w:abstractNum>
  <w:abstractNum w:abstractNumId="4" w15:restartNumberingAfterBreak="0">
    <w:nsid w:val="6A9652B3"/>
    <w:multiLevelType w:val="multilevel"/>
    <w:tmpl w:val="C07A917E"/>
    <w:lvl w:ilvl="0">
      <w:start w:val="2"/>
      <w:numFmt w:val="decimal"/>
      <w:lvlText w:val="%1"/>
      <w:lvlJc w:val="left"/>
      <w:pPr>
        <w:ind w:left="684" w:hanging="430"/>
        <w:jc w:val="left"/>
      </w:pPr>
      <w:rPr>
        <w:rFonts w:hint="default"/>
        <w:lang w:val="en-US" w:eastAsia="en-US" w:bidi="ar-SA"/>
      </w:rPr>
    </w:lvl>
    <w:lvl w:ilvl="1">
      <w:start w:val="5"/>
      <w:numFmt w:val="decimal"/>
      <w:lvlText w:val="%1.%2."/>
      <w:lvlJc w:val="left"/>
      <w:pPr>
        <w:ind w:left="684" w:hanging="430"/>
        <w:jc w:val="left"/>
      </w:pPr>
      <w:rPr>
        <w:rFonts w:ascii="Arial" w:eastAsia="Arial" w:hAnsi="Arial" w:cs="Arial" w:hint="default"/>
        <w:b/>
        <w:bCs/>
        <w:w w:val="100"/>
        <w:sz w:val="22"/>
        <w:szCs w:val="22"/>
        <w:lang w:val="en-US" w:eastAsia="en-US" w:bidi="ar-SA"/>
      </w:rPr>
    </w:lvl>
    <w:lvl w:ilvl="2">
      <w:numFmt w:val="bullet"/>
      <w:lvlText w:val=""/>
      <w:lvlJc w:val="left"/>
      <w:pPr>
        <w:ind w:left="974" w:hanging="360"/>
      </w:pPr>
      <w:rPr>
        <w:rFonts w:ascii="Symbol" w:eastAsia="Symbol" w:hAnsi="Symbol" w:cs="Symbol" w:hint="default"/>
        <w:w w:val="100"/>
        <w:sz w:val="22"/>
        <w:szCs w:val="22"/>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4006" w:hanging="360"/>
      </w:pPr>
      <w:rPr>
        <w:rFonts w:hint="default"/>
        <w:lang w:val="en-US" w:eastAsia="en-US" w:bidi="ar-SA"/>
      </w:rPr>
    </w:lvl>
    <w:lvl w:ilvl="5">
      <w:numFmt w:val="bullet"/>
      <w:lvlText w:val="•"/>
      <w:lvlJc w:val="left"/>
      <w:pPr>
        <w:ind w:left="5015" w:hanging="360"/>
      </w:pPr>
      <w:rPr>
        <w:rFonts w:hint="default"/>
        <w:lang w:val="en-US" w:eastAsia="en-US" w:bidi="ar-SA"/>
      </w:rPr>
    </w:lvl>
    <w:lvl w:ilvl="6">
      <w:numFmt w:val="bullet"/>
      <w:lvlText w:val="•"/>
      <w:lvlJc w:val="left"/>
      <w:pPr>
        <w:ind w:left="6024" w:hanging="360"/>
      </w:pPr>
      <w:rPr>
        <w:rFonts w:hint="default"/>
        <w:lang w:val="en-US" w:eastAsia="en-US" w:bidi="ar-SA"/>
      </w:rPr>
    </w:lvl>
    <w:lvl w:ilvl="7">
      <w:numFmt w:val="bullet"/>
      <w:lvlText w:val="•"/>
      <w:lvlJc w:val="left"/>
      <w:pPr>
        <w:ind w:left="7033" w:hanging="360"/>
      </w:pPr>
      <w:rPr>
        <w:rFonts w:hint="default"/>
        <w:lang w:val="en-US" w:eastAsia="en-US" w:bidi="ar-SA"/>
      </w:rPr>
    </w:lvl>
    <w:lvl w:ilvl="8">
      <w:numFmt w:val="bullet"/>
      <w:lvlText w:val="•"/>
      <w:lvlJc w:val="left"/>
      <w:pPr>
        <w:ind w:left="8042" w:hanging="360"/>
      </w:pPr>
      <w:rPr>
        <w:rFonts w:hint="default"/>
        <w:lang w:val="en-US" w:eastAsia="en-US" w:bidi="ar-SA"/>
      </w:rPr>
    </w:lvl>
  </w:abstractNum>
  <w:abstractNum w:abstractNumId="5" w15:restartNumberingAfterBreak="0">
    <w:nsid w:val="75A20681"/>
    <w:multiLevelType w:val="hybridMultilevel"/>
    <w:tmpl w:val="5C62B442"/>
    <w:lvl w:ilvl="0" w:tplc="D8143618">
      <w:numFmt w:val="bullet"/>
      <w:lvlText w:val=""/>
      <w:lvlJc w:val="left"/>
      <w:pPr>
        <w:ind w:left="835" w:hanging="360"/>
      </w:pPr>
      <w:rPr>
        <w:rFonts w:hint="default"/>
        <w:w w:val="100"/>
        <w:lang w:val="en-US" w:eastAsia="en-US" w:bidi="ar-SA"/>
      </w:rPr>
    </w:lvl>
    <w:lvl w:ilvl="1" w:tplc="ABCE7B0C">
      <w:numFmt w:val="bullet"/>
      <w:lvlText w:val="o"/>
      <w:lvlJc w:val="left"/>
      <w:pPr>
        <w:ind w:left="1555" w:hanging="360"/>
      </w:pPr>
      <w:rPr>
        <w:rFonts w:ascii="Courier New" w:eastAsia="Courier New" w:hAnsi="Courier New" w:cs="Courier New" w:hint="default"/>
        <w:w w:val="100"/>
        <w:sz w:val="22"/>
        <w:szCs w:val="22"/>
        <w:lang w:val="en-US" w:eastAsia="en-US" w:bidi="ar-SA"/>
      </w:rPr>
    </w:lvl>
    <w:lvl w:ilvl="2" w:tplc="DACC8430">
      <w:numFmt w:val="bullet"/>
      <w:lvlText w:val="•"/>
      <w:lvlJc w:val="left"/>
      <w:pPr>
        <w:ind w:left="2474" w:hanging="360"/>
      </w:pPr>
      <w:rPr>
        <w:rFonts w:hint="default"/>
        <w:lang w:val="en-US" w:eastAsia="en-US" w:bidi="ar-SA"/>
      </w:rPr>
    </w:lvl>
    <w:lvl w:ilvl="3" w:tplc="8342EDC2">
      <w:numFmt w:val="bullet"/>
      <w:lvlText w:val="•"/>
      <w:lvlJc w:val="left"/>
      <w:pPr>
        <w:ind w:left="3388" w:hanging="360"/>
      </w:pPr>
      <w:rPr>
        <w:rFonts w:hint="default"/>
        <w:lang w:val="en-US" w:eastAsia="en-US" w:bidi="ar-SA"/>
      </w:rPr>
    </w:lvl>
    <w:lvl w:ilvl="4" w:tplc="C45A43A4">
      <w:numFmt w:val="bullet"/>
      <w:lvlText w:val="•"/>
      <w:lvlJc w:val="left"/>
      <w:pPr>
        <w:ind w:left="4302" w:hanging="360"/>
      </w:pPr>
      <w:rPr>
        <w:rFonts w:hint="default"/>
        <w:lang w:val="en-US" w:eastAsia="en-US" w:bidi="ar-SA"/>
      </w:rPr>
    </w:lvl>
    <w:lvl w:ilvl="5" w:tplc="483E0818">
      <w:numFmt w:val="bullet"/>
      <w:lvlText w:val="•"/>
      <w:lvlJc w:val="left"/>
      <w:pPr>
        <w:ind w:left="5216" w:hanging="360"/>
      </w:pPr>
      <w:rPr>
        <w:rFonts w:hint="default"/>
        <w:lang w:val="en-US" w:eastAsia="en-US" w:bidi="ar-SA"/>
      </w:rPr>
    </w:lvl>
    <w:lvl w:ilvl="6" w:tplc="FBDA7B7A">
      <w:numFmt w:val="bullet"/>
      <w:lvlText w:val="•"/>
      <w:lvlJc w:val="left"/>
      <w:pPr>
        <w:ind w:left="6130" w:hanging="360"/>
      </w:pPr>
      <w:rPr>
        <w:rFonts w:hint="default"/>
        <w:lang w:val="en-US" w:eastAsia="en-US" w:bidi="ar-SA"/>
      </w:rPr>
    </w:lvl>
    <w:lvl w:ilvl="7" w:tplc="74EE43D6">
      <w:numFmt w:val="bullet"/>
      <w:lvlText w:val="•"/>
      <w:lvlJc w:val="left"/>
      <w:pPr>
        <w:ind w:left="7044" w:hanging="360"/>
      </w:pPr>
      <w:rPr>
        <w:rFonts w:hint="default"/>
        <w:lang w:val="en-US" w:eastAsia="en-US" w:bidi="ar-SA"/>
      </w:rPr>
    </w:lvl>
    <w:lvl w:ilvl="8" w:tplc="BDDC2036">
      <w:numFmt w:val="bullet"/>
      <w:lvlText w:val="•"/>
      <w:lvlJc w:val="left"/>
      <w:pPr>
        <w:ind w:left="7958" w:hanging="360"/>
      </w:pPr>
      <w:rPr>
        <w:rFonts w:hint="default"/>
        <w:lang w:val="en-US" w:eastAsia="en-US" w:bidi="ar-SA"/>
      </w:rPr>
    </w:lvl>
  </w:abstractNum>
  <w:num w:numId="1" w16cid:durableId="436412404">
    <w:abstractNumId w:val="2"/>
  </w:num>
  <w:num w:numId="2" w16cid:durableId="998771693">
    <w:abstractNumId w:val="4"/>
  </w:num>
  <w:num w:numId="3" w16cid:durableId="1820224900">
    <w:abstractNumId w:val="1"/>
  </w:num>
  <w:num w:numId="4" w16cid:durableId="1371495279">
    <w:abstractNumId w:val="0"/>
  </w:num>
  <w:num w:numId="5" w16cid:durableId="2080276441">
    <w:abstractNumId w:val="5"/>
  </w:num>
  <w:num w:numId="6" w16cid:durableId="962151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15A4"/>
    <w:rsid w:val="00401D46"/>
    <w:rsid w:val="005B6026"/>
    <w:rsid w:val="0084098A"/>
    <w:rsid w:val="008D271D"/>
    <w:rsid w:val="00B92627"/>
    <w:rsid w:val="00C75F0F"/>
    <w:rsid w:val="00D14A9E"/>
    <w:rsid w:val="00E14103"/>
    <w:rsid w:val="00FC1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679689C"/>
  <w15:docId w15:val="{1D1D306A-7663-5B4A-8538-B71AAC7F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39"/>
      <w:outlineLvl w:val="0"/>
    </w:pPr>
    <w:rPr>
      <w:rFonts w:ascii="Arial" w:eastAsia="Arial" w:hAnsi="Arial" w:cs="Arial"/>
      <w:b/>
      <w:bCs/>
      <w:sz w:val="28"/>
      <w:szCs w:val="28"/>
    </w:rPr>
  </w:style>
  <w:style w:type="paragraph" w:styleId="Heading2">
    <w:name w:val="heading 2"/>
    <w:basedOn w:val="Normal"/>
    <w:uiPriority w:val="9"/>
    <w:unhideWhenUsed/>
    <w:qFormat/>
    <w:pPr>
      <w:ind w:left="139"/>
      <w:outlineLvl w:val="1"/>
    </w:pPr>
    <w:rPr>
      <w:rFonts w:ascii="Arial" w:eastAsia="Arial" w:hAnsi="Arial" w:cs="Arial"/>
      <w:b/>
      <w:bCs/>
      <w:sz w:val="24"/>
      <w:szCs w:val="24"/>
    </w:rPr>
  </w:style>
  <w:style w:type="paragraph" w:styleId="Heading3">
    <w:name w:val="heading 3"/>
    <w:basedOn w:val="Normal"/>
    <w:uiPriority w:val="9"/>
    <w:unhideWhenUsed/>
    <w:qFormat/>
    <w:pPr>
      <w:spacing w:line="252" w:lineRule="exact"/>
      <w:ind w:left="254"/>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859" w:hanging="361"/>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2963</Words>
  <Characters>16893</Characters>
  <Application>Microsoft Office Word</Application>
  <DocSecurity>0</DocSecurity>
  <Lines>140</Lines>
  <Paragraphs>39</Paragraphs>
  <ScaleCrop>false</ScaleCrop>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Thomas</dc:creator>
  <cp:lastModifiedBy>Sero</cp:lastModifiedBy>
  <cp:revision>7</cp:revision>
  <dcterms:created xsi:type="dcterms:W3CDTF">2023-10-24T14:35:00Z</dcterms:created>
  <dcterms:modified xsi:type="dcterms:W3CDTF">2024-02-29T21:10:00Z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for Microsoft 365</vt:lpwstr>
  </property>
  <property fmtid="{D5CDD505-2E9C-101B-9397-08002B2CF9AE}" pid="4" name="LastSaved">
    <vt:filetime>2023-10-24T00:00:00Z</vt:filetime>
  </property>
</Properties>
</file>